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763"/>
        <w:rPr>
          <w:sz w:val="20"/>
        </w:rPr>
      </w:pPr>
      <w:r>
        <w:rPr>
          <w:sz w:val="20"/>
        </w:rPr>
        <w:drawing>
          <wp:inline distT="0" distB="0" distL="0" distR="0">
            <wp:extent cx="5344797" cy="59131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797" cy="59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line="264" w:lineRule="auto" w:before="215"/>
        <w:ind w:left="4057" w:right="1260" w:hanging="2406"/>
        <w:jc w:val="left"/>
        <w:rPr>
          <w:b/>
          <w:sz w:val="21"/>
        </w:rPr>
      </w:pPr>
      <w:r>
        <w:rPr>
          <w:b/>
          <w:color w:val="231F20"/>
          <w:sz w:val="21"/>
        </w:rPr>
        <w:t>INFORME</w:t>
      </w:r>
      <w:r>
        <w:rPr>
          <w:b/>
          <w:color w:val="231F20"/>
          <w:spacing w:val="14"/>
          <w:sz w:val="21"/>
        </w:rPr>
        <w:t> </w:t>
      </w:r>
      <w:r>
        <w:rPr>
          <w:b/>
          <w:color w:val="231F20"/>
          <w:sz w:val="21"/>
        </w:rPr>
        <w:t>DE</w:t>
      </w:r>
      <w:r>
        <w:rPr>
          <w:b/>
          <w:color w:val="231F20"/>
          <w:spacing w:val="13"/>
          <w:sz w:val="21"/>
        </w:rPr>
        <w:t> </w:t>
      </w:r>
      <w:r>
        <w:rPr>
          <w:b/>
          <w:color w:val="231F20"/>
          <w:sz w:val="21"/>
        </w:rPr>
        <w:t>AUDITORÍA</w:t>
      </w:r>
      <w:r>
        <w:rPr>
          <w:b/>
          <w:color w:val="231F20"/>
          <w:spacing w:val="11"/>
          <w:sz w:val="21"/>
        </w:rPr>
        <w:t> </w:t>
      </w:r>
      <w:r>
        <w:rPr>
          <w:b/>
          <w:color w:val="231F20"/>
          <w:sz w:val="21"/>
        </w:rPr>
        <w:t>DE</w:t>
      </w:r>
      <w:r>
        <w:rPr>
          <w:b/>
          <w:color w:val="231F20"/>
          <w:spacing w:val="12"/>
          <w:sz w:val="21"/>
        </w:rPr>
        <w:t> </w:t>
      </w:r>
      <w:r>
        <w:rPr>
          <w:b/>
          <w:color w:val="231F20"/>
          <w:sz w:val="21"/>
        </w:rPr>
        <w:t>CUENTAS</w:t>
      </w:r>
      <w:r>
        <w:rPr>
          <w:b/>
          <w:color w:val="231F20"/>
          <w:spacing w:val="15"/>
          <w:sz w:val="21"/>
        </w:rPr>
        <w:t> </w:t>
      </w:r>
      <w:r>
        <w:rPr>
          <w:b/>
          <w:color w:val="231F20"/>
          <w:sz w:val="21"/>
        </w:rPr>
        <w:t>ANUALES</w:t>
      </w:r>
      <w:r>
        <w:rPr>
          <w:b/>
          <w:color w:val="231F20"/>
          <w:spacing w:val="13"/>
          <w:sz w:val="21"/>
        </w:rPr>
        <w:t> </w:t>
      </w:r>
      <w:r>
        <w:rPr>
          <w:b/>
          <w:color w:val="231F20"/>
          <w:sz w:val="21"/>
        </w:rPr>
        <w:t>DE</w:t>
      </w:r>
      <w:r>
        <w:rPr>
          <w:b/>
          <w:color w:val="231F20"/>
          <w:spacing w:val="11"/>
          <w:sz w:val="21"/>
        </w:rPr>
        <w:t> </w:t>
      </w:r>
      <w:r>
        <w:rPr>
          <w:b/>
          <w:color w:val="231F20"/>
          <w:sz w:val="21"/>
        </w:rPr>
        <w:t>PYMES</w:t>
      </w:r>
      <w:r>
        <w:rPr>
          <w:b/>
          <w:color w:val="231F20"/>
          <w:spacing w:val="12"/>
          <w:sz w:val="21"/>
        </w:rPr>
        <w:t> </w:t>
      </w:r>
      <w:r>
        <w:rPr>
          <w:b/>
          <w:color w:val="231F20"/>
          <w:sz w:val="21"/>
        </w:rPr>
        <w:t>DE</w:t>
      </w:r>
      <w:r>
        <w:rPr>
          <w:b/>
          <w:color w:val="231F20"/>
          <w:spacing w:val="13"/>
          <w:sz w:val="21"/>
        </w:rPr>
        <w:t> </w:t>
      </w:r>
      <w:r>
        <w:rPr>
          <w:b/>
          <w:color w:val="231F20"/>
          <w:sz w:val="21"/>
        </w:rPr>
        <w:t>PYMES</w:t>
      </w:r>
      <w:r>
        <w:rPr>
          <w:b/>
          <w:color w:val="231F20"/>
          <w:spacing w:val="15"/>
          <w:sz w:val="21"/>
        </w:rPr>
        <w:t> </w:t>
      </w:r>
      <w:r>
        <w:rPr>
          <w:b/>
          <w:color w:val="231F20"/>
          <w:sz w:val="21"/>
        </w:rPr>
        <w:t>EMITIDO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POR</w:t>
      </w:r>
      <w:r>
        <w:rPr>
          <w:b/>
          <w:color w:val="231F20"/>
          <w:spacing w:val="-1"/>
          <w:sz w:val="21"/>
        </w:rPr>
        <w:t> </w:t>
      </w:r>
      <w:r>
        <w:rPr>
          <w:b/>
          <w:color w:val="231F20"/>
          <w:sz w:val="21"/>
        </w:rPr>
        <w:t>UN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AUDITOR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INDEPENDIENTE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ind w:left="1617"/>
      </w:pP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Administradora</w:t>
      </w:r>
      <w:r>
        <w:rPr>
          <w:color w:val="231F20"/>
          <w:spacing w:val="5"/>
        </w:rPr>
        <w:t> </w:t>
      </w:r>
      <w:r>
        <w:rPr>
          <w:color w:val="231F20"/>
        </w:rPr>
        <w:t>Única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Formación</w:t>
      </w:r>
      <w:r>
        <w:rPr>
          <w:color w:val="231F20"/>
          <w:spacing w:val="8"/>
        </w:rPr>
        <w:t> </w:t>
      </w:r>
      <w:r>
        <w:rPr>
          <w:color w:val="231F20"/>
        </w:rPr>
        <w:t>para</w:t>
      </w:r>
      <w:r>
        <w:rPr>
          <w:color w:val="231F20"/>
          <w:spacing w:val="12"/>
        </w:rPr>
        <w:t> </w:t>
      </w:r>
      <w:r>
        <w:rPr>
          <w:color w:val="231F20"/>
        </w:rPr>
        <w:t>el</w:t>
      </w:r>
      <w:r>
        <w:rPr>
          <w:color w:val="231F20"/>
          <w:spacing w:val="10"/>
        </w:rPr>
        <w:t> </w:t>
      </w:r>
      <w:r>
        <w:rPr>
          <w:color w:val="231F20"/>
        </w:rPr>
        <w:t>Empleo</w:t>
      </w:r>
      <w:r>
        <w:rPr>
          <w:color w:val="231F20"/>
          <w:spacing w:val="8"/>
        </w:rPr>
        <w:t> </w:t>
      </w:r>
      <w:r>
        <w:rPr>
          <w:color w:val="231F20"/>
        </w:rPr>
        <w:t>Santa</w:t>
      </w:r>
      <w:r>
        <w:rPr>
          <w:color w:val="231F20"/>
          <w:spacing w:val="9"/>
        </w:rPr>
        <w:t> </w:t>
      </w:r>
      <w:r>
        <w:rPr>
          <w:color w:val="231F20"/>
        </w:rPr>
        <w:t>Brígida,</w:t>
      </w:r>
      <w:r>
        <w:rPr>
          <w:color w:val="231F20"/>
          <w:spacing w:val="6"/>
        </w:rPr>
        <w:t> </w:t>
      </w:r>
      <w:r>
        <w:rPr>
          <w:color w:val="231F20"/>
        </w:rPr>
        <w:t>S.L.U.:</w:t>
      </w:r>
    </w:p>
    <w:p>
      <w:pPr>
        <w:pStyle w:val="BodyText"/>
        <w:spacing w:before="2"/>
        <w:rPr>
          <w:sz w:val="22"/>
        </w:rPr>
      </w:pPr>
    </w:p>
    <w:p>
      <w:pPr>
        <w:spacing w:before="0"/>
        <w:ind w:left="1617" w:right="0" w:firstLine="0"/>
        <w:jc w:val="left"/>
        <w:rPr>
          <w:b/>
          <w:sz w:val="21"/>
        </w:rPr>
      </w:pPr>
      <w:r>
        <w:rPr>
          <w:b/>
          <w:color w:val="231F20"/>
          <w:sz w:val="21"/>
        </w:rPr>
        <w:t>Opinión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264" w:lineRule="auto"/>
        <w:ind w:left="1617" w:right="1601"/>
        <w:jc w:val="both"/>
      </w:pPr>
      <w:r>
        <w:rPr>
          <w:color w:val="231F20"/>
        </w:rPr>
        <w:t>Hemos auditado las cuentas anuales de pymes de Centro de Formación para el Empleo Santa Brígida,</w:t>
      </w:r>
      <w:r>
        <w:rPr>
          <w:color w:val="231F20"/>
          <w:spacing w:val="1"/>
        </w:rPr>
        <w:t> </w:t>
      </w:r>
      <w:r>
        <w:rPr>
          <w:color w:val="231F20"/>
        </w:rPr>
        <w:t>S.L.U., (la Sociedad), que comprenden el balance a 31 de diciembre de 2021, la cuenta de pérdidas y</w:t>
      </w:r>
      <w:r>
        <w:rPr>
          <w:color w:val="231F20"/>
          <w:spacing w:val="1"/>
        </w:rPr>
        <w:t> </w:t>
      </w:r>
      <w:r>
        <w:rPr>
          <w:color w:val="231F20"/>
        </w:rPr>
        <w:t>ganancias,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la memoria, todos</w:t>
      </w:r>
      <w:r>
        <w:rPr>
          <w:color w:val="231F20"/>
          <w:spacing w:val="1"/>
        </w:rPr>
        <w:t> </w:t>
      </w:r>
      <w:r>
        <w:rPr>
          <w:color w:val="231F20"/>
        </w:rPr>
        <w:t>ellos</w:t>
      </w:r>
      <w:r>
        <w:rPr>
          <w:color w:val="231F20"/>
          <w:spacing w:val="1"/>
        </w:rPr>
        <w:t> </w:t>
      </w:r>
      <w:r>
        <w:rPr>
          <w:color w:val="231F20"/>
        </w:rPr>
        <w:t>de pymes,</w:t>
      </w:r>
      <w:r>
        <w:rPr>
          <w:color w:val="231F20"/>
          <w:spacing w:val="1"/>
        </w:rPr>
        <w:t> </w:t>
      </w:r>
      <w:r>
        <w:rPr>
          <w:color w:val="231F20"/>
        </w:rPr>
        <w:t>correspondientes al</w:t>
      </w:r>
      <w:r>
        <w:rPr>
          <w:color w:val="231F20"/>
          <w:spacing w:val="1"/>
        </w:rPr>
        <w:t> </w:t>
      </w:r>
      <w:r>
        <w:rPr>
          <w:color w:val="231F20"/>
        </w:rPr>
        <w:t>ejercicio terminado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52"/>
        </w:rPr>
        <w:t> </w:t>
      </w:r>
      <w:r>
        <w:rPr>
          <w:color w:val="231F20"/>
        </w:rPr>
        <w:t>dicha</w:t>
      </w:r>
      <w:r>
        <w:rPr>
          <w:color w:val="231F20"/>
          <w:spacing w:val="1"/>
        </w:rPr>
        <w:t> </w:t>
      </w:r>
      <w:r>
        <w:rPr>
          <w:color w:val="231F20"/>
        </w:rPr>
        <w:t>fecha.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264" w:lineRule="auto"/>
        <w:ind w:left="1617" w:right="1604"/>
        <w:jc w:val="both"/>
      </w:pP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nuestra</w:t>
      </w:r>
      <w:r>
        <w:rPr>
          <w:color w:val="231F20"/>
          <w:spacing w:val="1"/>
        </w:rPr>
        <w:t> </w:t>
      </w:r>
      <w:r>
        <w:rPr>
          <w:color w:val="231F20"/>
        </w:rPr>
        <w:t>opinión,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cuentas</w:t>
      </w:r>
      <w:r>
        <w:rPr>
          <w:color w:val="231F20"/>
          <w:spacing w:val="1"/>
        </w:rPr>
        <w:t> </w:t>
      </w:r>
      <w:r>
        <w:rPr>
          <w:color w:val="231F20"/>
        </w:rPr>
        <w:t>anuales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pymes</w:t>
      </w:r>
      <w:r>
        <w:rPr>
          <w:color w:val="231F20"/>
          <w:spacing w:val="1"/>
        </w:rPr>
        <w:t> </w:t>
      </w:r>
      <w:r>
        <w:rPr>
          <w:color w:val="231F20"/>
        </w:rPr>
        <w:t>adjuntas</w:t>
      </w:r>
      <w:r>
        <w:rPr>
          <w:color w:val="231F20"/>
          <w:spacing w:val="1"/>
        </w:rPr>
        <w:t> </w:t>
      </w:r>
      <w:r>
        <w:rPr>
          <w:color w:val="231F20"/>
        </w:rPr>
        <w:t>expresan,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todos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aspectos</w:t>
      </w:r>
      <w:r>
        <w:rPr>
          <w:color w:val="231F20"/>
          <w:spacing w:val="1"/>
        </w:rPr>
        <w:t> </w:t>
      </w:r>
      <w:r>
        <w:rPr>
          <w:color w:val="231F20"/>
        </w:rPr>
        <w:t>significativos, la imagen fiel del patrimonio y de la situación financiera de la Sociedad a 31 de</w:t>
      </w:r>
      <w:r>
        <w:rPr>
          <w:color w:val="231F20"/>
          <w:spacing w:val="1"/>
        </w:rPr>
        <w:t> </w:t>
      </w:r>
      <w:r>
        <w:rPr>
          <w:color w:val="231F20"/>
        </w:rPr>
        <w:t>diciembre de 2021, así como de sus resultados y flujos de efectivo correspondientes al ejercicio</w:t>
      </w:r>
      <w:r>
        <w:rPr>
          <w:color w:val="231F20"/>
          <w:spacing w:val="1"/>
        </w:rPr>
        <w:t> </w:t>
      </w:r>
      <w:r>
        <w:rPr>
          <w:color w:val="231F20"/>
        </w:rPr>
        <w:t>terminado en dicha fecha, de conformidad con el marco normativo de información financiera que</w:t>
      </w:r>
      <w:r>
        <w:rPr>
          <w:color w:val="231F20"/>
          <w:spacing w:val="1"/>
        </w:rPr>
        <w:t> </w:t>
      </w:r>
      <w:r>
        <w:rPr>
          <w:color w:val="231F20"/>
        </w:rPr>
        <w:t>resulta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aplicación</w:t>
      </w:r>
      <w:r>
        <w:rPr>
          <w:color w:val="231F20"/>
          <w:spacing w:val="1"/>
        </w:rPr>
        <w:t> </w:t>
      </w:r>
      <w:r>
        <w:rPr>
          <w:color w:val="231F20"/>
        </w:rPr>
        <w:t>(que</w:t>
      </w:r>
      <w:r>
        <w:rPr>
          <w:color w:val="231F20"/>
          <w:spacing w:val="4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color w:val="231F20"/>
        </w:rPr>
        <w:t>identifica</w:t>
      </w:r>
      <w:r>
        <w:rPr>
          <w:color w:val="231F20"/>
          <w:spacing w:val="5"/>
        </w:rPr>
        <w:t> </w:t>
      </w:r>
      <w:r>
        <w:rPr>
          <w:color w:val="231F20"/>
        </w:rPr>
        <w:t>en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nota</w:t>
      </w:r>
      <w:r>
        <w:rPr>
          <w:color w:val="231F20"/>
          <w:spacing w:val="6"/>
        </w:rPr>
        <w:t> </w:t>
      </w:r>
      <w:r>
        <w:rPr>
          <w:color w:val="231F20"/>
        </w:rPr>
        <w:t>2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memoria)</w:t>
      </w:r>
      <w:r>
        <w:rPr>
          <w:color w:val="231F20"/>
          <w:spacing w:val="4"/>
        </w:rPr>
        <w:t> </w:t>
      </w:r>
      <w:r>
        <w:rPr>
          <w:color w:val="231F20"/>
        </w:rPr>
        <w:t>y,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5"/>
        </w:rPr>
        <w:t> </w:t>
      </w:r>
      <w:r>
        <w:rPr>
          <w:color w:val="231F20"/>
        </w:rPr>
        <w:t>particular,</w:t>
      </w:r>
      <w:r>
        <w:rPr>
          <w:color w:val="231F20"/>
          <w:spacing w:val="2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-1"/>
        </w:rPr>
        <w:t> </w:t>
      </w:r>
      <w:r>
        <w:rPr>
          <w:color w:val="231F20"/>
        </w:rPr>
        <w:t>principios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criterios</w:t>
      </w:r>
      <w:r>
        <w:rPr>
          <w:color w:val="231F20"/>
          <w:spacing w:val="2"/>
        </w:rPr>
        <w:t> </w:t>
      </w:r>
      <w:r>
        <w:rPr>
          <w:color w:val="231F20"/>
        </w:rPr>
        <w:t>contables</w:t>
      </w:r>
      <w:r>
        <w:rPr>
          <w:color w:val="231F20"/>
          <w:spacing w:val="3"/>
        </w:rPr>
        <w:t> </w:t>
      </w:r>
      <w:r>
        <w:rPr>
          <w:color w:val="231F20"/>
        </w:rPr>
        <w:t>contenidos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4"/>
        </w:rPr>
        <w:t> </w:t>
      </w:r>
      <w:r>
        <w:rPr>
          <w:color w:val="231F20"/>
        </w:rPr>
        <w:t>mismo.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1617" w:right="0" w:firstLine="0"/>
        <w:jc w:val="left"/>
        <w:rPr>
          <w:b/>
          <w:sz w:val="21"/>
        </w:rPr>
      </w:pPr>
      <w:r>
        <w:rPr>
          <w:b/>
          <w:color w:val="231F20"/>
          <w:sz w:val="21"/>
        </w:rPr>
        <w:t>Fundamento</w:t>
      </w:r>
      <w:r>
        <w:rPr>
          <w:b/>
          <w:color w:val="231F20"/>
          <w:spacing w:val="7"/>
          <w:sz w:val="21"/>
        </w:rPr>
        <w:t> </w:t>
      </w:r>
      <w:r>
        <w:rPr>
          <w:b/>
          <w:color w:val="231F20"/>
          <w:sz w:val="21"/>
        </w:rPr>
        <w:t>de</w:t>
      </w:r>
      <w:r>
        <w:rPr>
          <w:b/>
          <w:color w:val="231F20"/>
          <w:spacing w:val="7"/>
          <w:sz w:val="21"/>
        </w:rPr>
        <w:t> </w:t>
      </w:r>
      <w:r>
        <w:rPr>
          <w:b/>
          <w:color w:val="231F20"/>
          <w:sz w:val="21"/>
        </w:rPr>
        <w:t>la</w:t>
      </w:r>
      <w:r>
        <w:rPr>
          <w:b/>
          <w:color w:val="231F20"/>
          <w:spacing w:val="10"/>
          <w:sz w:val="21"/>
        </w:rPr>
        <w:t> </w:t>
      </w:r>
      <w:r>
        <w:rPr>
          <w:b/>
          <w:color w:val="231F20"/>
          <w:sz w:val="21"/>
        </w:rPr>
        <w:t>opinión</w:t>
      </w:r>
    </w:p>
    <w:p>
      <w:pPr>
        <w:pStyle w:val="BodyText"/>
        <w:spacing w:before="2"/>
        <w:rPr>
          <w:b/>
          <w:sz w:val="22"/>
        </w:rPr>
      </w:pPr>
    </w:p>
    <w:p>
      <w:pPr>
        <w:spacing w:line="264" w:lineRule="auto" w:before="0"/>
        <w:ind w:left="1617" w:right="1602" w:firstLine="0"/>
        <w:jc w:val="both"/>
        <w:rPr>
          <w:sz w:val="21"/>
        </w:rPr>
      </w:pPr>
      <w:r>
        <w:rPr>
          <w:color w:val="231F20"/>
          <w:sz w:val="21"/>
        </w:rPr>
        <w:t>Hemos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llevado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cabo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nuestra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auditoría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conformidad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con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normativa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reguladora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actividad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de auditoría de cuentas vigente en España. Nuestras responsabilidades de acuerdo con dichas normas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describen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más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adelante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sección</w:t>
      </w:r>
      <w:r>
        <w:rPr>
          <w:color w:val="231F20"/>
          <w:spacing w:val="15"/>
          <w:sz w:val="21"/>
        </w:rPr>
        <w:t> </w:t>
      </w:r>
      <w:r>
        <w:rPr>
          <w:i/>
          <w:color w:val="231F20"/>
          <w:sz w:val="21"/>
        </w:rPr>
        <w:t>Responsabilidades</w:t>
      </w:r>
      <w:r>
        <w:rPr>
          <w:i/>
          <w:color w:val="231F20"/>
          <w:spacing w:val="16"/>
          <w:sz w:val="21"/>
        </w:rPr>
        <w:t> </w:t>
      </w:r>
      <w:r>
        <w:rPr>
          <w:i/>
          <w:color w:val="231F20"/>
          <w:sz w:val="21"/>
        </w:rPr>
        <w:t>del</w:t>
      </w:r>
      <w:r>
        <w:rPr>
          <w:i/>
          <w:color w:val="231F20"/>
          <w:spacing w:val="16"/>
          <w:sz w:val="21"/>
        </w:rPr>
        <w:t> </w:t>
      </w:r>
      <w:r>
        <w:rPr>
          <w:i/>
          <w:color w:val="231F20"/>
          <w:sz w:val="21"/>
        </w:rPr>
        <w:t>auditor</w:t>
      </w:r>
      <w:r>
        <w:rPr>
          <w:i/>
          <w:color w:val="231F20"/>
          <w:spacing w:val="16"/>
          <w:sz w:val="21"/>
        </w:rPr>
        <w:t> </w:t>
      </w:r>
      <w:r>
        <w:rPr>
          <w:i/>
          <w:color w:val="231F20"/>
          <w:sz w:val="21"/>
        </w:rPr>
        <w:t>en</w:t>
      </w:r>
      <w:r>
        <w:rPr>
          <w:i/>
          <w:color w:val="231F20"/>
          <w:spacing w:val="17"/>
          <w:sz w:val="21"/>
        </w:rPr>
        <w:t> </w:t>
      </w:r>
      <w:r>
        <w:rPr>
          <w:i/>
          <w:color w:val="231F20"/>
          <w:sz w:val="21"/>
        </w:rPr>
        <w:t>relación</w:t>
      </w:r>
      <w:r>
        <w:rPr>
          <w:i/>
          <w:color w:val="231F20"/>
          <w:spacing w:val="16"/>
          <w:sz w:val="21"/>
        </w:rPr>
        <w:t> </w:t>
      </w:r>
      <w:r>
        <w:rPr>
          <w:i/>
          <w:color w:val="231F20"/>
          <w:sz w:val="21"/>
        </w:rPr>
        <w:t>con</w:t>
      </w:r>
      <w:r>
        <w:rPr>
          <w:i/>
          <w:color w:val="231F20"/>
          <w:spacing w:val="16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18"/>
          <w:sz w:val="21"/>
        </w:rPr>
        <w:t> </w:t>
      </w:r>
      <w:r>
        <w:rPr>
          <w:i/>
          <w:color w:val="231F20"/>
          <w:sz w:val="21"/>
        </w:rPr>
        <w:t>auditoría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de las</w:t>
      </w:r>
      <w:r>
        <w:rPr>
          <w:i/>
          <w:color w:val="231F20"/>
          <w:spacing w:val="2"/>
          <w:sz w:val="21"/>
        </w:rPr>
        <w:t> </w:t>
      </w:r>
      <w:r>
        <w:rPr>
          <w:i/>
          <w:color w:val="231F20"/>
          <w:sz w:val="21"/>
        </w:rPr>
        <w:t>cuentas</w:t>
      </w:r>
      <w:r>
        <w:rPr>
          <w:i/>
          <w:color w:val="231F20"/>
          <w:spacing w:val="2"/>
          <w:sz w:val="21"/>
        </w:rPr>
        <w:t> </w:t>
      </w:r>
      <w:r>
        <w:rPr>
          <w:i/>
          <w:color w:val="231F20"/>
          <w:sz w:val="21"/>
        </w:rPr>
        <w:t>anuales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pymes</w:t>
      </w:r>
      <w:r>
        <w:rPr>
          <w:i/>
          <w:color w:val="231F20"/>
          <w:spacing w:val="2"/>
          <w:sz w:val="21"/>
        </w:rPr>
        <w:t> </w:t>
      </w:r>
      <w:r>
        <w:rPr>
          <w:color w:val="231F20"/>
          <w:sz w:val="21"/>
        </w:rPr>
        <w:t>de nuestro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informe.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264" w:lineRule="auto"/>
        <w:ind w:left="1617" w:right="1603"/>
        <w:jc w:val="both"/>
      </w:pPr>
      <w:r>
        <w:rPr>
          <w:color w:val="231F20"/>
        </w:rPr>
        <w:t>Somos independientes de la</w:t>
      </w:r>
      <w:r>
        <w:rPr>
          <w:color w:val="231F20"/>
          <w:spacing w:val="1"/>
        </w:rPr>
        <w:t> </w:t>
      </w:r>
      <w:r>
        <w:rPr>
          <w:color w:val="231F20"/>
        </w:rPr>
        <w:t>Sociedad de conformidad con los requerimientos</w:t>
      </w:r>
      <w:r>
        <w:rPr>
          <w:color w:val="231F20"/>
          <w:spacing w:val="52"/>
        </w:rPr>
        <w:t> </w:t>
      </w:r>
      <w:r>
        <w:rPr>
          <w:color w:val="231F20"/>
        </w:rPr>
        <w:t>de ética, incluidos los</w:t>
      </w:r>
      <w:r>
        <w:rPr>
          <w:color w:val="231F20"/>
          <w:spacing w:val="1"/>
        </w:rPr>
        <w:t> </w:t>
      </w:r>
      <w:r>
        <w:rPr>
          <w:color w:val="231F20"/>
        </w:rPr>
        <w:t>de independencia, que son aplicables a nuestra auditoría de las cuentas anuales en España según lo</w:t>
      </w:r>
      <w:r>
        <w:rPr>
          <w:color w:val="231F20"/>
          <w:spacing w:val="1"/>
        </w:rPr>
        <w:t> </w:t>
      </w:r>
      <w:r>
        <w:rPr>
          <w:color w:val="231F20"/>
        </w:rPr>
        <w:t>exigido por la normativa reguladora de la actividad de auditoría de cuentas. En este sentido, no hemos</w:t>
      </w:r>
      <w:r>
        <w:rPr>
          <w:color w:val="231F20"/>
          <w:spacing w:val="-50"/>
        </w:rPr>
        <w:t> </w:t>
      </w:r>
      <w:r>
        <w:rPr>
          <w:color w:val="231F20"/>
        </w:rPr>
        <w:t>prestado</w:t>
      </w:r>
      <w:r>
        <w:rPr>
          <w:color w:val="231F20"/>
          <w:spacing w:val="1"/>
        </w:rPr>
        <w:t> </w:t>
      </w:r>
      <w:r>
        <w:rPr>
          <w:color w:val="231F20"/>
        </w:rPr>
        <w:t>servicios</w:t>
      </w:r>
      <w:r>
        <w:rPr>
          <w:color w:val="231F20"/>
          <w:spacing w:val="1"/>
        </w:rPr>
        <w:t> </w:t>
      </w:r>
      <w:r>
        <w:rPr>
          <w:color w:val="231F20"/>
        </w:rPr>
        <w:t>distintos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auditoría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cuentas</w:t>
      </w:r>
      <w:r>
        <w:rPr>
          <w:color w:val="231F20"/>
          <w:spacing w:val="1"/>
        </w:rPr>
        <w:t> </w:t>
      </w:r>
      <w:r>
        <w:rPr>
          <w:color w:val="231F20"/>
        </w:rPr>
        <w:t>ni</w:t>
      </w:r>
      <w:r>
        <w:rPr>
          <w:color w:val="231F20"/>
          <w:spacing w:val="1"/>
        </w:rPr>
        <w:t> </w:t>
      </w:r>
      <w:r>
        <w:rPr>
          <w:color w:val="231F20"/>
        </w:rPr>
        <w:t>han</w:t>
      </w:r>
      <w:r>
        <w:rPr>
          <w:color w:val="231F20"/>
          <w:spacing w:val="1"/>
        </w:rPr>
        <w:t> </w:t>
      </w:r>
      <w:r>
        <w:rPr>
          <w:color w:val="231F20"/>
        </w:rPr>
        <w:t>concurrido</w:t>
      </w:r>
      <w:r>
        <w:rPr>
          <w:color w:val="231F20"/>
          <w:spacing w:val="1"/>
        </w:rPr>
        <w:t> </w:t>
      </w:r>
      <w:r>
        <w:rPr>
          <w:color w:val="231F20"/>
        </w:rPr>
        <w:t>situaciones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circunstancias que,</w:t>
      </w:r>
      <w:r>
        <w:rPr>
          <w:color w:val="231F20"/>
          <w:spacing w:val="1"/>
        </w:rPr>
        <w:t> </w:t>
      </w:r>
      <w:r>
        <w:rPr>
          <w:color w:val="231F20"/>
        </w:rPr>
        <w:t>de acuerdo con lo establecido</w:t>
      </w:r>
      <w:r>
        <w:rPr>
          <w:color w:val="231F20"/>
          <w:spacing w:val="52"/>
        </w:rPr>
        <w:t> </w:t>
      </w:r>
      <w:r>
        <w:rPr>
          <w:color w:val="231F20"/>
        </w:rPr>
        <w:t>en la citada</w:t>
      </w:r>
      <w:r>
        <w:rPr>
          <w:color w:val="231F20"/>
          <w:spacing w:val="53"/>
        </w:rPr>
        <w:t> </w:t>
      </w:r>
      <w:r>
        <w:rPr>
          <w:color w:val="231F20"/>
        </w:rPr>
        <w:t>normativa reguladora,</w:t>
      </w:r>
      <w:r>
        <w:rPr>
          <w:color w:val="231F20"/>
          <w:spacing w:val="52"/>
        </w:rPr>
        <w:t> </w:t>
      </w:r>
      <w:r>
        <w:rPr>
          <w:color w:val="231F20"/>
        </w:rPr>
        <w:t>hayan afectado</w:t>
      </w:r>
      <w:r>
        <w:rPr>
          <w:color w:val="231F20"/>
          <w:spacing w:val="-50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necesaria</w:t>
      </w:r>
      <w:r>
        <w:rPr>
          <w:color w:val="231F20"/>
          <w:spacing w:val="-1"/>
        </w:rPr>
        <w:t> </w:t>
      </w:r>
      <w:r>
        <w:rPr>
          <w:color w:val="231F20"/>
        </w:rPr>
        <w:t>independencia</w:t>
      </w:r>
      <w:r>
        <w:rPr>
          <w:color w:val="231F20"/>
          <w:spacing w:val="1"/>
        </w:rPr>
        <w:t> </w:t>
      </w:r>
      <w:r>
        <w:rPr>
          <w:color w:val="231F20"/>
        </w:rPr>
        <w:t>de modo que</w:t>
      </w:r>
      <w:r>
        <w:rPr>
          <w:color w:val="231F20"/>
          <w:spacing w:val="2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haya</w:t>
      </w:r>
      <w:r>
        <w:rPr>
          <w:color w:val="231F20"/>
          <w:spacing w:val="4"/>
        </w:rPr>
        <w:t> </w:t>
      </w:r>
      <w:r>
        <w:rPr>
          <w:color w:val="231F20"/>
        </w:rPr>
        <w:t>visto comprometida.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64" w:lineRule="auto"/>
        <w:ind w:left="1617" w:right="1604"/>
        <w:jc w:val="both"/>
      </w:pPr>
      <w:r>
        <w:rPr>
          <w:color w:val="231F20"/>
        </w:rPr>
        <w:t>Consideramos que la evidencia de auditoría que hemos obtenido proporciona una base suficiente y</w:t>
      </w:r>
      <w:r>
        <w:rPr>
          <w:color w:val="231F20"/>
          <w:spacing w:val="1"/>
        </w:rPr>
        <w:t> </w:t>
      </w:r>
      <w:r>
        <w:rPr>
          <w:color w:val="231F20"/>
        </w:rPr>
        <w:t>adecuada para</w:t>
      </w:r>
      <w:r>
        <w:rPr>
          <w:color w:val="231F20"/>
          <w:spacing w:val="-2"/>
        </w:rPr>
        <w:t> </w:t>
      </w:r>
      <w:r>
        <w:rPr>
          <w:color w:val="231F20"/>
        </w:rPr>
        <w:t>nuestra</w:t>
      </w:r>
      <w:r>
        <w:rPr>
          <w:color w:val="231F20"/>
          <w:spacing w:val="5"/>
        </w:rPr>
        <w:t> </w:t>
      </w:r>
      <w:r>
        <w:rPr>
          <w:color w:val="231F20"/>
        </w:rPr>
        <w:t>opinión.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1617" w:right="0" w:firstLine="0"/>
        <w:jc w:val="left"/>
        <w:rPr>
          <w:b/>
          <w:sz w:val="21"/>
        </w:rPr>
      </w:pPr>
      <w:r>
        <w:rPr>
          <w:b/>
          <w:color w:val="231F20"/>
          <w:sz w:val="21"/>
        </w:rPr>
        <w:t>Aspectos</w:t>
      </w:r>
      <w:r>
        <w:rPr>
          <w:b/>
          <w:color w:val="231F20"/>
          <w:spacing w:val="9"/>
          <w:sz w:val="21"/>
        </w:rPr>
        <w:t> </w:t>
      </w:r>
      <w:r>
        <w:rPr>
          <w:b/>
          <w:color w:val="231F20"/>
          <w:sz w:val="21"/>
        </w:rPr>
        <w:t>más</w:t>
      </w:r>
      <w:r>
        <w:rPr>
          <w:b/>
          <w:color w:val="231F20"/>
          <w:spacing w:val="9"/>
          <w:sz w:val="21"/>
        </w:rPr>
        <w:t> </w:t>
      </w:r>
      <w:r>
        <w:rPr>
          <w:b/>
          <w:color w:val="231F20"/>
          <w:sz w:val="21"/>
        </w:rPr>
        <w:t>relevantes</w:t>
      </w:r>
      <w:r>
        <w:rPr>
          <w:b/>
          <w:color w:val="231F20"/>
          <w:spacing w:val="6"/>
          <w:sz w:val="21"/>
        </w:rPr>
        <w:t> </w:t>
      </w:r>
      <w:r>
        <w:rPr>
          <w:b/>
          <w:color w:val="231F20"/>
          <w:sz w:val="21"/>
        </w:rPr>
        <w:t>de</w:t>
      </w:r>
      <w:r>
        <w:rPr>
          <w:b/>
          <w:color w:val="231F20"/>
          <w:spacing w:val="8"/>
          <w:sz w:val="21"/>
        </w:rPr>
        <w:t> </w:t>
      </w:r>
      <w:r>
        <w:rPr>
          <w:b/>
          <w:color w:val="231F20"/>
          <w:sz w:val="21"/>
        </w:rPr>
        <w:t>la</w:t>
      </w:r>
      <w:r>
        <w:rPr>
          <w:b/>
          <w:color w:val="231F20"/>
          <w:spacing w:val="9"/>
          <w:sz w:val="21"/>
        </w:rPr>
        <w:t> </w:t>
      </w:r>
      <w:r>
        <w:rPr>
          <w:b/>
          <w:color w:val="231F20"/>
          <w:sz w:val="21"/>
        </w:rPr>
        <w:t>auditoría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64" w:lineRule="auto" w:before="1"/>
        <w:ind w:left="1617" w:right="1604"/>
        <w:jc w:val="both"/>
      </w:pPr>
      <w:r>
        <w:rPr>
          <w:color w:val="231F20"/>
        </w:rPr>
        <w:t>Los aspectos más relevantes de la auditoría son aquellos que, según nuestro juicio profesional, han</w:t>
      </w:r>
      <w:r>
        <w:rPr>
          <w:color w:val="231F20"/>
          <w:spacing w:val="1"/>
        </w:rPr>
        <w:t> </w:t>
      </w:r>
      <w:r>
        <w:rPr>
          <w:color w:val="231F20"/>
        </w:rPr>
        <w:t>sido</w:t>
      </w:r>
      <w:r>
        <w:rPr>
          <w:color w:val="231F20"/>
          <w:spacing w:val="16"/>
        </w:rPr>
        <w:t> </w:t>
      </w:r>
      <w:r>
        <w:rPr>
          <w:color w:val="231F20"/>
        </w:rPr>
        <w:t>considerados</w:t>
      </w:r>
      <w:r>
        <w:rPr>
          <w:color w:val="231F20"/>
          <w:spacing w:val="20"/>
        </w:rPr>
        <w:t> </w:t>
      </w:r>
      <w:r>
        <w:rPr>
          <w:color w:val="231F20"/>
        </w:rPr>
        <w:t>como</w:t>
      </w:r>
      <w:r>
        <w:rPr>
          <w:color w:val="231F20"/>
          <w:spacing w:val="17"/>
        </w:rPr>
        <w:t> </w:t>
      </w:r>
      <w:r>
        <w:rPr>
          <w:color w:val="231F20"/>
        </w:rPr>
        <w:t>los</w:t>
      </w:r>
      <w:r>
        <w:rPr>
          <w:color w:val="231F20"/>
          <w:spacing w:val="17"/>
        </w:rPr>
        <w:t> </w:t>
      </w:r>
      <w:r>
        <w:rPr>
          <w:color w:val="231F20"/>
        </w:rPr>
        <w:t>riesgos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incorrección</w:t>
      </w:r>
      <w:r>
        <w:rPr>
          <w:color w:val="231F20"/>
          <w:spacing w:val="15"/>
        </w:rPr>
        <w:t> </w:t>
      </w:r>
      <w:r>
        <w:rPr>
          <w:color w:val="231F20"/>
        </w:rPr>
        <w:t>material</w:t>
      </w:r>
      <w:r>
        <w:rPr>
          <w:color w:val="231F20"/>
          <w:spacing w:val="19"/>
        </w:rPr>
        <w:t> </w:t>
      </w:r>
      <w:r>
        <w:rPr>
          <w:color w:val="231F20"/>
        </w:rPr>
        <w:t>más</w:t>
      </w:r>
      <w:r>
        <w:rPr>
          <w:color w:val="231F20"/>
          <w:spacing w:val="21"/>
        </w:rPr>
        <w:t> </w:t>
      </w:r>
      <w:r>
        <w:rPr>
          <w:color w:val="231F20"/>
        </w:rPr>
        <w:t>significativos</w:t>
      </w:r>
      <w:r>
        <w:rPr>
          <w:color w:val="231F20"/>
          <w:spacing w:val="17"/>
        </w:rPr>
        <w:t> </w:t>
      </w:r>
      <w:r>
        <w:rPr>
          <w:color w:val="231F20"/>
        </w:rPr>
        <w:t>en</w:t>
      </w:r>
      <w:r>
        <w:rPr>
          <w:color w:val="231F20"/>
          <w:spacing w:val="13"/>
        </w:rPr>
        <w:t> </w:t>
      </w:r>
      <w:r>
        <w:rPr>
          <w:color w:val="231F20"/>
        </w:rPr>
        <w:t>nuestra</w:t>
      </w:r>
      <w:r>
        <w:rPr>
          <w:color w:val="231F20"/>
          <w:spacing w:val="18"/>
        </w:rPr>
        <w:t> </w:t>
      </w:r>
      <w:r>
        <w:rPr>
          <w:color w:val="231F20"/>
        </w:rPr>
        <w:t>auditoría</w:t>
      </w:r>
      <w:r>
        <w:rPr>
          <w:color w:val="231F20"/>
          <w:spacing w:val="1"/>
        </w:rPr>
        <w:t> </w:t>
      </w:r>
      <w:r>
        <w:rPr>
          <w:color w:val="231F20"/>
        </w:rPr>
        <w:t>de las cuentas anuales de pymes del periodo actual. Estos riesgos han sido tratados en el contexto de</w:t>
      </w:r>
      <w:r>
        <w:rPr>
          <w:color w:val="231F20"/>
          <w:spacing w:val="1"/>
        </w:rPr>
        <w:t> </w:t>
      </w:r>
      <w:r>
        <w:rPr>
          <w:color w:val="231F20"/>
        </w:rPr>
        <w:t>nuestra auditoría de las cuentas anuales en su conjunto, y en la formación de nuestra opinión sobre</w:t>
      </w:r>
      <w:r>
        <w:rPr>
          <w:color w:val="231F20"/>
          <w:spacing w:val="1"/>
        </w:rPr>
        <w:t> </w:t>
      </w:r>
      <w:r>
        <w:rPr>
          <w:color w:val="231F20"/>
        </w:rPr>
        <w:t>éstas,</w:t>
      </w:r>
      <w:r>
        <w:rPr>
          <w:color w:val="231F20"/>
          <w:spacing w:val="4"/>
        </w:rPr>
        <w:t> </w:t>
      </w:r>
      <w:r>
        <w:rPr>
          <w:color w:val="231F20"/>
        </w:rPr>
        <w:t>y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expresamos</w:t>
      </w:r>
      <w:r>
        <w:rPr>
          <w:color w:val="231F20"/>
          <w:spacing w:val="4"/>
        </w:rPr>
        <w:t> </w:t>
      </w: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opinión</w:t>
      </w:r>
      <w:r>
        <w:rPr>
          <w:color w:val="231F20"/>
          <w:spacing w:val="5"/>
        </w:rPr>
        <w:t> </w:t>
      </w:r>
      <w:r>
        <w:rPr>
          <w:color w:val="231F20"/>
        </w:rPr>
        <w:t>por</w:t>
      </w:r>
      <w:r>
        <w:rPr>
          <w:color w:val="231F20"/>
          <w:spacing w:val="4"/>
        </w:rPr>
        <w:t> </w:t>
      </w:r>
      <w:r>
        <w:rPr>
          <w:color w:val="231F20"/>
        </w:rPr>
        <w:t>separado</w:t>
      </w:r>
      <w:r>
        <w:rPr>
          <w:color w:val="231F20"/>
          <w:spacing w:val="-1"/>
        </w:rPr>
        <w:t> </w:t>
      </w:r>
      <w:r>
        <w:rPr>
          <w:color w:val="231F20"/>
        </w:rPr>
        <w:t>sobre</w:t>
      </w:r>
      <w:r>
        <w:rPr>
          <w:color w:val="231F20"/>
          <w:spacing w:val="-1"/>
        </w:rPr>
        <w:t> </w:t>
      </w:r>
      <w:r>
        <w:rPr>
          <w:color w:val="231F20"/>
        </w:rPr>
        <w:t>esos</w:t>
      </w:r>
      <w:r>
        <w:rPr>
          <w:color w:val="231F20"/>
          <w:spacing w:val="2"/>
        </w:rPr>
        <w:t> </w:t>
      </w:r>
      <w:r>
        <w:rPr>
          <w:color w:val="231F20"/>
        </w:rPr>
        <w:t>riesgos.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75"/>
        <w:ind w:left="2591" w:right="2584" w:firstLine="0"/>
        <w:jc w:val="center"/>
        <w:rPr>
          <w:rFonts w:ascii="Calibri" w:hAnsi="Calibri"/>
          <w:sz w:val="15"/>
        </w:rPr>
      </w:pPr>
      <w:r>
        <w:rPr>
          <w:rFonts w:ascii="Calibri" w:hAnsi="Calibri"/>
          <w:color w:val="BFC1C3"/>
          <w:spacing w:val="-1"/>
          <w:w w:val="105"/>
          <w:sz w:val="15"/>
        </w:rPr>
        <w:t>Netadia</w:t>
      </w:r>
      <w:r>
        <w:rPr>
          <w:rFonts w:ascii="Calibri" w:hAnsi="Calibri"/>
          <w:color w:val="BFC1C3"/>
          <w:spacing w:val="-5"/>
          <w:w w:val="105"/>
          <w:sz w:val="15"/>
        </w:rPr>
        <w:t> </w:t>
      </w:r>
      <w:r>
        <w:rPr>
          <w:rFonts w:ascii="Calibri" w:hAnsi="Calibri"/>
          <w:color w:val="BFC1C3"/>
          <w:spacing w:val="-1"/>
          <w:w w:val="105"/>
          <w:sz w:val="15"/>
        </w:rPr>
        <w:t>Europa,</w:t>
      </w:r>
      <w:r>
        <w:rPr>
          <w:rFonts w:ascii="Calibri" w:hAnsi="Calibri"/>
          <w:color w:val="BFC1C3"/>
          <w:spacing w:val="-5"/>
          <w:w w:val="105"/>
          <w:sz w:val="15"/>
        </w:rPr>
        <w:t> </w:t>
      </w:r>
      <w:r>
        <w:rPr>
          <w:rFonts w:ascii="Calibri" w:hAnsi="Calibri"/>
          <w:color w:val="BFC1C3"/>
          <w:spacing w:val="-1"/>
          <w:w w:val="105"/>
          <w:sz w:val="15"/>
        </w:rPr>
        <w:t>S.LP.</w:t>
      </w:r>
      <w:r>
        <w:rPr>
          <w:rFonts w:ascii="Calibri" w:hAnsi="Calibri"/>
          <w:color w:val="BFC1C3"/>
          <w:spacing w:val="-5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–</w:t>
      </w:r>
      <w:r>
        <w:rPr>
          <w:rFonts w:ascii="Calibri" w:hAnsi="Calibri"/>
          <w:color w:val="BFC1C3"/>
          <w:spacing w:val="-6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C.I.F.</w:t>
      </w:r>
      <w:r>
        <w:rPr>
          <w:rFonts w:ascii="Calibri" w:hAnsi="Calibri"/>
          <w:color w:val="BFC1C3"/>
          <w:spacing w:val="-7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B91857870</w:t>
      </w:r>
      <w:r>
        <w:rPr>
          <w:rFonts w:ascii="Calibri" w:hAnsi="Calibri"/>
          <w:color w:val="BFC1C3"/>
          <w:spacing w:val="-4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-</w:t>
      </w:r>
      <w:r>
        <w:rPr>
          <w:rFonts w:ascii="Calibri" w:hAnsi="Calibri"/>
          <w:color w:val="BFC1C3"/>
          <w:spacing w:val="-5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Inscrita</w:t>
      </w:r>
      <w:r>
        <w:rPr>
          <w:rFonts w:ascii="Calibri" w:hAnsi="Calibri"/>
          <w:color w:val="BFC1C3"/>
          <w:spacing w:val="-7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en</w:t>
      </w:r>
      <w:r>
        <w:rPr>
          <w:rFonts w:ascii="Calibri" w:hAnsi="Calibri"/>
          <w:color w:val="BFC1C3"/>
          <w:spacing w:val="-8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RM</w:t>
      </w:r>
      <w:r>
        <w:rPr>
          <w:rFonts w:ascii="Calibri" w:hAnsi="Calibri"/>
          <w:color w:val="BFC1C3"/>
          <w:spacing w:val="-7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de</w:t>
      </w:r>
      <w:r>
        <w:rPr>
          <w:rFonts w:ascii="Calibri" w:hAnsi="Calibri"/>
          <w:color w:val="BFC1C3"/>
          <w:spacing w:val="-6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Sevilla,</w:t>
      </w:r>
      <w:r>
        <w:rPr>
          <w:rFonts w:ascii="Calibri" w:hAnsi="Calibri"/>
          <w:color w:val="BFC1C3"/>
          <w:spacing w:val="-4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Tomo</w:t>
      </w:r>
      <w:r>
        <w:rPr>
          <w:rFonts w:ascii="Calibri" w:hAnsi="Calibri"/>
          <w:color w:val="BFC1C3"/>
          <w:spacing w:val="-9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5420,</w:t>
      </w:r>
      <w:r>
        <w:rPr>
          <w:rFonts w:ascii="Calibri" w:hAnsi="Calibri"/>
          <w:color w:val="BFC1C3"/>
          <w:spacing w:val="-6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folio</w:t>
      </w:r>
      <w:r>
        <w:rPr>
          <w:rFonts w:ascii="Calibri" w:hAnsi="Calibri"/>
          <w:color w:val="BFC1C3"/>
          <w:spacing w:val="-5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131.</w:t>
      </w:r>
      <w:r>
        <w:rPr>
          <w:rFonts w:ascii="Calibri" w:hAnsi="Calibri"/>
          <w:color w:val="BFC1C3"/>
          <w:spacing w:val="-6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hoja</w:t>
      </w:r>
      <w:r>
        <w:rPr>
          <w:rFonts w:ascii="Calibri" w:hAnsi="Calibri"/>
          <w:color w:val="BFC1C3"/>
          <w:spacing w:val="-6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SE-90843.</w:t>
      </w:r>
    </w:p>
    <w:p>
      <w:pPr>
        <w:spacing w:before="23"/>
        <w:ind w:left="2591" w:right="2584" w:firstLine="0"/>
        <w:jc w:val="center"/>
        <w:rPr>
          <w:rFonts w:ascii="Calibri" w:hAnsi="Calibri"/>
          <w:sz w:val="15"/>
        </w:rPr>
      </w:pPr>
      <w:r>
        <w:rPr>
          <w:rFonts w:ascii="Calibri" w:hAnsi="Calibri"/>
          <w:color w:val="BFC1C3"/>
          <w:w w:val="105"/>
          <w:sz w:val="15"/>
        </w:rPr>
        <w:t>Inscrita</w:t>
      </w:r>
      <w:r>
        <w:rPr>
          <w:rFonts w:ascii="Calibri" w:hAnsi="Calibri"/>
          <w:color w:val="BFC1C3"/>
          <w:spacing w:val="-7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en</w:t>
      </w:r>
      <w:r>
        <w:rPr>
          <w:rFonts w:ascii="Calibri" w:hAnsi="Calibri"/>
          <w:color w:val="BFC1C3"/>
          <w:spacing w:val="-5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el</w:t>
      </w:r>
      <w:r>
        <w:rPr>
          <w:rFonts w:ascii="Calibri" w:hAnsi="Calibri"/>
          <w:color w:val="BFC1C3"/>
          <w:spacing w:val="-7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Registro</w:t>
      </w:r>
      <w:r>
        <w:rPr>
          <w:rFonts w:ascii="Calibri" w:hAnsi="Calibri"/>
          <w:color w:val="BFC1C3"/>
          <w:spacing w:val="-6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Oficial</w:t>
      </w:r>
      <w:r>
        <w:rPr>
          <w:rFonts w:ascii="Calibri" w:hAnsi="Calibri"/>
          <w:color w:val="BFC1C3"/>
          <w:spacing w:val="-5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de</w:t>
      </w:r>
      <w:r>
        <w:rPr>
          <w:rFonts w:ascii="Calibri" w:hAnsi="Calibri"/>
          <w:color w:val="BFC1C3"/>
          <w:spacing w:val="-7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Auditores</w:t>
      </w:r>
      <w:r>
        <w:rPr>
          <w:rFonts w:ascii="Calibri" w:hAnsi="Calibri"/>
          <w:color w:val="BFC1C3"/>
          <w:spacing w:val="-7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de</w:t>
      </w:r>
      <w:r>
        <w:rPr>
          <w:rFonts w:ascii="Calibri" w:hAnsi="Calibri"/>
          <w:color w:val="BFC1C3"/>
          <w:spacing w:val="-6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Cuentas</w:t>
      </w:r>
      <w:r>
        <w:rPr>
          <w:rFonts w:ascii="Calibri" w:hAnsi="Calibri"/>
          <w:color w:val="BFC1C3"/>
          <w:spacing w:val="-8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con</w:t>
      </w:r>
      <w:r>
        <w:rPr>
          <w:rFonts w:ascii="Calibri" w:hAnsi="Calibri"/>
          <w:color w:val="BFC1C3"/>
          <w:spacing w:val="-8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número</w:t>
      </w:r>
      <w:r>
        <w:rPr>
          <w:rFonts w:ascii="Calibri" w:hAnsi="Calibri"/>
          <w:color w:val="BFC1C3"/>
          <w:spacing w:val="-7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S-2114.</w:t>
      </w:r>
    </w:p>
    <w:p>
      <w:pPr>
        <w:spacing w:before="17"/>
        <w:ind w:left="0" w:right="1608" w:firstLine="0"/>
        <w:jc w:val="right"/>
        <w:rPr>
          <w:sz w:val="19"/>
        </w:rPr>
      </w:pPr>
      <w:r>
        <w:rPr>
          <w:color w:val="231F20"/>
          <w:w w:val="101"/>
          <w:sz w:val="19"/>
        </w:rPr>
        <w:t>1</w:t>
      </w:r>
    </w:p>
    <w:p>
      <w:pPr>
        <w:spacing w:after="0"/>
        <w:jc w:val="right"/>
        <w:rPr>
          <w:sz w:val="19"/>
        </w:rPr>
        <w:sectPr>
          <w:type w:val="continuous"/>
          <w:pgSz w:w="11910" w:h="16840"/>
          <w:pgMar w:top="980" w:bottom="280" w:left="40" w:right="40"/>
        </w:sectPr>
      </w:pPr>
    </w:p>
    <w:p>
      <w:pPr>
        <w:pStyle w:val="BodyText"/>
        <w:ind w:left="1763"/>
        <w:rPr>
          <w:sz w:val="20"/>
        </w:rPr>
      </w:pPr>
      <w:r>
        <w:rPr>
          <w:sz w:val="20"/>
        </w:rPr>
        <w:drawing>
          <wp:inline distT="0" distB="0" distL="0" distR="0">
            <wp:extent cx="5344797" cy="591312"/>
            <wp:effectExtent l="0" t="0" r="0" b="0"/>
            <wp:docPr id="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797" cy="59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15"/>
        <w:ind w:left="1617"/>
      </w:pPr>
      <w:r>
        <w:rPr>
          <w:color w:val="231F20"/>
        </w:rPr>
        <w:t>Reconocimiento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las</w:t>
      </w:r>
      <w:r>
        <w:rPr>
          <w:color w:val="231F20"/>
          <w:spacing w:val="13"/>
        </w:rPr>
        <w:t> </w:t>
      </w:r>
      <w:r>
        <w:rPr>
          <w:color w:val="231F20"/>
        </w:rPr>
        <w:t>subvenciones</w:t>
      </w:r>
      <w:r>
        <w:rPr>
          <w:color w:val="231F20"/>
          <w:spacing w:val="8"/>
        </w:rPr>
        <w:t> </w:t>
      </w:r>
      <w:r>
        <w:rPr>
          <w:color w:val="231F20"/>
        </w:rPr>
        <w:t>recibidas</w:t>
      </w:r>
    </w:p>
    <w:p>
      <w:pPr>
        <w:pStyle w:val="BodyText"/>
        <w:spacing w:line="264" w:lineRule="auto" w:before="179"/>
        <w:ind w:left="1617" w:right="1606"/>
        <w:jc w:val="both"/>
      </w:pPr>
      <w:r>
        <w:rPr>
          <w:color w:val="231F20"/>
        </w:rPr>
        <w:t>La Sociedad recibe diversas subvenciones para sus actividades de distintas entidades públicas. Hemos</w:t>
      </w:r>
      <w:r>
        <w:rPr>
          <w:color w:val="231F20"/>
          <w:spacing w:val="-50"/>
        </w:rPr>
        <w:t> </w:t>
      </w:r>
      <w:r>
        <w:rPr>
          <w:color w:val="231F20"/>
        </w:rPr>
        <w:t>considerado que la imputación a ingresos de las citadas subvenciones supone un riesgo de nuestra</w:t>
      </w:r>
      <w:r>
        <w:rPr>
          <w:color w:val="231F20"/>
          <w:spacing w:val="1"/>
        </w:rPr>
        <w:t> </w:t>
      </w:r>
      <w:r>
        <w:rPr>
          <w:color w:val="231F20"/>
        </w:rPr>
        <w:t>auditoría, al tratarse de importes significativos para la Sociedad, en tanto que la determinación del</w:t>
      </w:r>
      <w:r>
        <w:rPr>
          <w:color w:val="231F20"/>
          <w:spacing w:val="1"/>
        </w:rPr>
        <w:t> </w:t>
      </w:r>
      <w:r>
        <w:rPr>
          <w:color w:val="231F20"/>
        </w:rPr>
        <w:t>excedente</w:t>
      </w:r>
      <w:r>
        <w:rPr>
          <w:color w:val="231F20"/>
          <w:spacing w:val="3"/>
        </w:rPr>
        <w:t> </w:t>
      </w:r>
      <w:r>
        <w:rPr>
          <w:color w:val="231F20"/>
        </w:rPr>
        <w:t>del</w:t>
      </w:r>
      <w:r>
        <w:rPr>
          <w:color w:val="231F20"/>
          <w:spacing w:val="4"/>
        </w:rPr>
        <w:t> </w:t>
      </w:r>
      <w:r>
        <w:rPr>
          <w:color w:val="231F20"/>
        </w:rPr>
        <w:t>ejercicio</w:t>
      </w:r>
      <w:r>
        <w:rPr>
          <w:color w:val="231F20"/>
          <w:spacing w:val="1"/>
        </w:rPr>
        <w:t> </w:t>
      </w:r>
      <w:r>
        <w:rPr>
          <w:color w:val="231F20"/>
        </w:rPr>
        <w:t>depende</w:t>
      </w:r>
      <w:r>
        <w:rPr>
          <w:color w:val="231F20"/>
          <w:spacing w:val="3"/>
        </w:rPr>
        <w:t> </w:t>
      </w:r>
      <w:r>
        <w:rPr>
          <w:color w:val="231F20"/>
        </w:rPr>
        <w:t>en gran</w:t>
      </w:r>
      <w:r>
        <w:rPr>
          <w:color w:val="231F20"/>
          <w:spacing w:val="1"/>
        </w:rPr>
        <w:t> </w:t>
      </w:r>
      <w:r>
        <w:rPr>
          <w:color w:val="231F20"/>
        </w:rPr>
        <w:t>medida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este</w:t>
      </w:r>
      <w:r>
        <w:rPr>
          <w:color w:val="231F20"/>
          <w:spacing w:val="3"/>
        </w:rPr>
        <w:t> </w:t>
      </w:r>
      <w:r>
        <w:rPr>
          <w:color w:val="231F20"/>
        </w:rPr>
        <w:t>aspecto.</w:t>
      </w:r>
    </w:p>
    <w:p>
      <w:pPr>
        <w:pStyle w:val="BodyText"/>
        <w:spacing w:line="264" w:lineRule="auto" w:before="156"/>
        <w:ind w:left="1617" w:right="1603"/>
        <w:jc w:val="both"/>
      </w:pP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respuesta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dicho</w:t>
      </w:r>
      <w:r>
        <w:rPr>
          <w:color w:val="231F20"/>
          <w:spacing w:val="1"/>
        </w:rPr>
        <w:t> </w:t>
      </w:r>
      <w:r>
        <w:rPr>
          <w:color w:val="231F20"/>
        </w:rPr>
        <w:t>riesgo</w:t>
      </w:r>
      <w:r>
        <w:rPr>
          <w:color w:val="231F20"/>
          <w:spacing w:val="1"/>
        </w:rPr>
        <w:t> </w:t>
      </w:r>
      <w:r>
        <w:rPr>
          <w:color w:val="231F20"/>
        </w:rPr>
        <w:t>significativo,</w:t>
      </w:r>
      <w:r>
        <w:rPr>
          <w:color w:val="231F20"/>
          <w:spacing w:val="1"/>
        </w:rPr>
        <w:t> </w:t>
      </w:r>
      <w:r>
        <w:rPr>
          <w:color w:val="231F20"/>
        </w:rPr>
        <w:t>hemos</w:t>
      </w:r>
      <w:r>
        <w:rPr>
          <w:color w:val="231F20"/>
          <w:spacing w:val="1"/>
        </w:rPr>
        <w:t> </w:t>
      </w:r>
      <w:r>
        <w:rPr>
          <w:color w:val="231F20"/>
        </w:rPr>
        <w:t>conocido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controles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Sociedad</w:t>
      </w:r>
      <w:r>
        <w:rPr>
          <w:color w:val="231F20"/>
          <w:spacing w:val="1"/>
        </w:rPr>
        <w:t> </w:t>
      </w:r>
      <w:r>
        <w:rPr>
          <w:color w:val="231F20"/>
        </w:rPr>
        <w:t>tiene</w:t>
      </w:r>
      <w:r>
        <w:rPr>
          <w:color w:val="231F20"/>
          <w:spacing w:val="1"/>
        </w:rPr>
        <w:t> </w:t>
      </w:r>
      <w:r>
        <w:rPr>
          <w:color w:val="231F20"/>
        </w:rPr>
        <w:t>diseñados</w:t>
      </w:r>
      <w:r>
        <w:rPr>
          <w:color w:val="231F20"/>
          <w:spacing w:val="15"/>
        </w:rPr>
        <w:t> </w:t>
      </w:r>
      <w:r>
        <w:rPr>
          <w:color w:val="231F20"/>
        </w:rPr>
        <w:t>y</w:t>
      </w:r>
      <w:r>
        <w:rPr>
          <w:color w:val="231F20"/>
          <w:spacing w:val="12"/>
        </w:rPr>
        <w:t> </w:t>
      </w:r>
      <w:r>
        <w:rPr>
          <w:color w:val="231F20"/>
        </w:rPr>
        <w:t>realizado</w:t>
      </w:r>
      <w:r>
        <w:rPr>
          <w:color w:val="231F20"/>
          <w:spacing w:val="12"/>
        </w:rPr>
        <w:t> </w:t>
      </w:r>
      <w:r>
        <w:rPr>
          <w:color w:val="231F20"/>
        </w:rPr>
        <w:t>pruebas</w:t>
      </w:r>
      <w:r>
        <w:rPr>
          <w:color w:val="231F20"/>
          <w:spacing w:val="17"/>
        </w:rPr>
        <w:t> </w:t>
      </w:r>
      <w:r>
        <w:rPr>
          <w:color w:val="231F20"/>
        </w:rPr>
        <w:t>analíticas</w:t>
      </w:r>
      <w:r>
        <w:rPr>
          <w:color w:val="231F20"/>
          <w:spacing w:val="15"/>
        </w:rPr>
        <w:t> </w:t>
      </w:r>
      <w:r>
        <w:rPr>
          <w:color w:val="231F20"/>
        </w:rPr>
        <w:t>y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detalle,</w:t>
      </w:r>
      <w:r>
        <w:rPr>
          <w:color w:val="231F20"/>
          <w:spacing w:val="13"/>
        </w:rPr>
        <w:t> </w:t>
      </w:r>
      <w:r>
        <w:rPr>
          <w:color w:val="231F20"/>
        </w:rPr>
        <w:t>para</w:t>
      </w:r>
      <w:r>
        <w:rPr>
          <w:color w:val="231F20"/>
          <w:spacing w:val="15"/>
        </w:rPr>
        <w:t> </w:t>
      </w:r>
      <w:r>
        <w:rPr>
          <w:color w:val="231F20"/>
        </w:rPr>
        <w:t>asegurarnos</w:t>
      </w:r>
      <w:r>
        <w:rPr>
          <w:color w:val="231F20"/>
          <w:spacing w:val="15"/>
        </w:rPr>
        <w:t> </w:t>
      </w:r>
      <w:r>
        <w:rPr>
          <w:color w:val="231F20"/>
        </w:rPr>
        <w:t>que</w:t>
      </w:r>
      <w:r>
        <w:rPr>
          <w:color w:val="231F20"/>
          <w:spacing w:val="12"/>
        </w:rPr>
        <w:t> </w:t>
      </w:r>
      <w:r>
        <w:rPr>
          <w:color w:val="231F20"/>
        </w:rPr>
        <w:t>la</w:t>
      </w:r>
      <w:r>
        <w:rPr>
          <w:color w:val="231F20"/>
          <w:spacing w:val="14"/>
        </w:rPr>
        <w:t> </w:t>
      </w:r>
      <w:r>
        <w:rPr>
          <w:color w:val="231F20"/>
        </w:rPr>
        <w:t>imputación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ingresos</w:t>
      </w:r>
      <w:r>
        <w:rPr>
          <w:color w:val="231F20"/>
          <w:spacing w:val="1"/>
        </w:rPr>
        <w:t> </w:t>
      </w:r>
      <w:r>
        <w:rPr>
          <w:color w:val="231F20"/>
        </w:rPr>
        <w:t>de las distintas subvenciones recibidas, sea</w:t>
      </w:r>
      <w:r>
        <w:rPr>
          <w:color w:val="231F20"/>
          <w:spacing w:val="1"/>
        </w:rPr>
        <w:t> </w:t>
      </w:r>
      <w:r>
        <w:rPr>
          <w:color w:val="231F20"/>
        </w:rPr>
        <w:t>coherente</w:t>
      </w:r>
      <w:r>
        <w:rPr>
          <w:color w:val="231F20"/>
          <w:spacing w:val="52"/>
        </w:rPr>
        <w:t> </w:t>
      </w:r>
      <w:r>
        <w:rPr>
          <w:color w:val="231F20"/>
        </w:rPr>
        <w:t>y proporcional con el grado de ejecución</w:t>
      </w:r>
      <w:r>
        <w:rPr>
          <w:color w:val="231F20"/>
          <w:spacing w:val="1"/>
        </w:rPr>
        <w:t> </w:t>
      </w:r>
      <w:r>
        <w:rPr>
          <w:color w:val="231F20"/>
        </w:rPr>
        <w:t>durante</w:t>
      </w:r>
      <w:r>
        <w:rPr>
          <w:color w:val="231F20"/>
          <w:spacing w:val="-1"/>
        </w:rPr>
        <w:t> </w:t>
      </w:r>
      <w:r>
        <w:rPr>
          <w:color w:val="231F20"/>
        </w:rPr>
        <w:t>el</w:t>
      </w:r>
      <w:r>
        <w:rPr>
          <w:color w:val="231F20"/>
          <w:spacing w:val="3"/>
        </w:rPr>
        <w:t> </w:t>
      </w:r>
      <w:r>
        <w:rPr>
          <w:color w:val="231F20"/>
        </w:rPr>
        <w:t>ejercicio</w:t>
      </w:r>
      <w:r>
        <w:rPr>
          <w:color w:val="231F20"/>
          <w:spacing w:val="5"/>
        </w:rPr>
        <w:t> </w:t>
      </w:r>
      <w:r>
        <w:rPr>
          <w:color w:val="231F20"/>
        </w:rPr>
        <w:t>del</w:t>
      </w:r>
      <w:r>
        <w:rPr>
          <w:color w:val="231F20"/>
          <w:spacing w:val="5"/>
        </w:rPr>
        <w:t> </w:t>
      </w:r>
      <w:r>
        <w:rPr>
          <w:color w:val="231F20"/>
        </w:rPr>
        <w:t>presupuesto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gastos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cada</w:t>
      </w:r>
      <w:r>
        <w:rPr>
          <w:color w:val="231F20"/>
          <w:spacing w:val="5"/>
        </w:rPr>
        <w:t> </w:t>
      </w:r>
      <w:r>
        <w:rPr>
          <w:color w:val="231F20"/>
        </w:rPr>
        <w:t>expediente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subvención.</w:t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1617" w:right="0" w:firstLine="0"/>
        <w:jc w:val="left"/>
        <w:rPr>
          <w:b/>
          <w:sz w:val="21"/>
        </w:rPr>
      </w:pPr>
      <w:r>
        <w:rPr>
          <w:b/>
          <w:color w:val="231F20"/>
          <w:sz w:val="21"/>
        </w:rPr>
        <w:t>Responsabilidad</w:t>
      </w:r>
      <w:r>
        <w:rPr>
          <w:b/>
          <w:color w:val="231F20"/>
          <w:spacing w:val="7"/>
          <w:sz w:val="21"/>
        </w:rPr>
        <w:t> </w:t>
      </w:r>
      <w:r>
        <w:rPr>
          <w:b/>
          <w:color w:val="231F20"/>
          <w:sz w:val="21"/>
        </w:rPr>
        <w:t>de</w:t>
      </w:r>
      <w:r>
        <w:rPr>
          <w:b/>
          <w:color w:val="231F20"/>
          <w:spacing w:val="7"/>
          <w:sz w:val="21"/>
        </w:rPr>
        <w:t> </w:t>
      </w:r>
      <w:r>
        <w:rPr>
          <w:b/>
          <w:color w:val="231F20"/>
          <w:sz w:val="21"/>
        </w:rPr>
        <w:t>la</w:t>
      </w:r>
      <w:r>
        <w:rPr>
          <w:b/>
          <w:color w:val="231F20"/>
          <w:spacing w:val="10"/>
          <w:sz w:val="21"/>
        </w:rPr>
        <w:t> </w:t>
      </w:r>
      <w:r>
        <w:rPr>
          <w:b/>
          <w:color w:val="231F20"/>
          <w:sz w:val="21"/>
        </w:rPr>
        <w:t>administradora</w:t>
      </w:r>
      <w:r>
        <w:rPr>
          <w:b/>
          <w:color w:val="231F20"/>
          <w:spacing w:val="10"/>
          <w:sz w:val="21"/>
        </w:rPr>
        <w:t> </w:t>
      </w:r>
      <w:r>
        <w:rPr>
          <w:b/>
          <w:color w:val="231F20"/>
          <w:sz w:val="21"/>
        </w:rPr>
        <w:t>única</w:t>
      </w:r>
      <w:r>
        <w:rPr>
          <w:b/>
          <w:color w:val="231F20"/>
          <w:spacing w:val="10"/>
          <w:sz w:val="21"/>
        </w:rPr>
        <w:t> </w:t>
      </w:r>
      <w:r>
        <w:rPr>
          <w:b/>
          <w:color w:val="231F20"/>
          <w:sz w:val="21"/>
        </w:rPr>
        <w:t>en</w:t>
      </w:r>
      <w:r>
        <w:rPr>
          <w:b/>
          <w:color w:val="231F20"/>
          <w:spacing w:val="6"/>
          <w:sz w:val="21"/>
        </w:rPr>
        <w:t> </w:t>
      </w:r>
      <w:r>
        <w:rPr>
          <w:b/>
          <w:color w:val="231F20"/>
          <w:sz w:val="21"/>
        </w:rPr>
        <w:t>relación</w:t>
      </w:r>
      <w:r>
        <w:rPr>
          <w:b/>
          <w:color w:val="231F20"/>
          <w:spacing w:val="8"/>
          <w:sz w:val="21"/>
        </w:rPr>
        <w:t> </w:t>
      </w:r>
      <w:r>
        <w:rPr>
          <w:b/>
          <w:color w:val="231F20"/>
          <w:sz w:val="21"/>
        </w:rPr>
        <w:t>con</w:t>
      </w:r>
      <w:r>
        <w:rPr>
          <w:b/>
          <w:color w:val="231F20"/>
          <w:spacing w:val="11"/>
          <w:sz w:val="21"/>
        </w:rPr>
        <w:t> </w:t>
      </w:r>
      <w:r>
        <w:rPr>
          <w:b/>
          <w:color w:val="231F20"/>
          <w:sz w:val="21"/>
        </w:rPr>
        <w:t>las</w:t>
      </w:r>
      <w:r>
        <w:rPr>
          <w:b/>
          <w:color w:val="231F20"/>
          <w:spacing w:val="10"/>
          <w:sz w:val="21"/>
        </w:rPr>
        <w:t> </w:t>
      </w:r>
      <w:r>
        <w:rPr>
          <w:b/>
          <w:color w:val="231F20"/>
          <w:sz w:val="21"/>
        </w:rPr>
        <w:t>cuentas</w:t>
      </w:r>
      <w:r>
        <w:rPr>
          <w:b/>
          <w:color w:val="231F20"/>
          <w:spacing w:val="13"/>
          <w:sz w:val="21"/>
        </w:rPr>
        <w:t> </w:t>
      </w:r>
      <w:r>
        <w:rPr>
          <w:b/>
          <w:color w:val="231F20"/>
          <w:sz w:val="21"/>
        </w:rPr>
        <w:t>anuales</w:t>
      </w:r>
      <w:r>
        <w:rPr>
          <w:b/>
          <w:color w:val="231F20"/>
          <w:spacing w:val="9"/>
          <w:sz w:val="21"/>
        </w:rPr>
        <w:t> </w:t>
      </w:r>
      <w:r>
        <w:rPr>
          <w:b/>
          <w:color w:val="231F20"/>
          <w:sz w:val="21"/>
        </w:rPr>
        <w:t>de</w:t>
      </w:r>
      <w:r>
        <w:rPr>
          <w:b/>
          <w:color w:val="231F20"/>
          <w:spacing w:val="9"/>
          <w:sz w:val="21"/>
        </w:rPr>
        <w:t> </w:t>
      </w:r>
      <w:r>
        <w:rPr>
          <w:b/>
          <w:color w:val="231F20"/>
          <w:sz w:val="21"/>
        </w:rPr>
        <w:t>pymes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line="264" w:lineRule="auto"/>
        <w:ind w:left="1617" w:right="1602"/>
        <w:jc w:val="both"/>
      </w:pPr>
      <w:r>
        <w:rPr>
          <w:color w:val="231F20"/>
        </w:rPr>
        <w:t>La administradora única es responsable de formular las cuentas anuales de pymes adjuntas, de forma</w:t>
      </w:r>
      <w:r>
        <w:rPr>
          <w:color w:val="231F20"/>
          <w:spacing w:val="1"/>
        </w:rPr>
        <w:t> </w:t>
      </w:r>
      <w:r>
        <w:rPr>
          <w:color w:val="231F20"/>
        </w:rPr>
        <w:t>que expresen la imagen fiel del patrimonio, de la situación financiera y de los resultados de la</w:t>
      </w:r>
      <w:r>
        <w:rPr>
          <w:color w:val="231F20"/>
          <w:spacing w:val="1"/>
        </w:rPr>
        <w:t> </w:t>
      </w:r>
      <w:r>
        <w:rPr>
          <w:color w:val="231F20"/>
        </w:rPr>
        <w:t>Sociedad,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conformidad con el marco normativo de información financiera</w:t>
      </w:r>
      <w:r>
        <w:rPr>
          <w:color w:val="231F20"/>
          <w:spacing w:val="52"/>
        </w:rPr>
        <w:t> </w:t>
      </w:r>
      <w:r>
        <w:rPr>
          <w:color w:val="231F20"/>
        </w:rPr>
        <w:t>aplicable</w:t>
      </w:r>
      <w:r>
        <w:rPr>
          <w:color w:val="231F20"/>
          <w:spacing w:val="53"/>
        </w:rPr>
        <w:t> </w:t>
      </w:r>
      <w:r>
        <w:rPr>
          <w:color w:val="231F20"/>
        </w:rPr>
        <w:t>a la</w:t>
      </w:r>
      <w:r>
        <w:rPr>
          <w:color w:val="231F20"/>
          <w:spacing w:val="52"/>
        </w:rPr>
        <w:t> </w:t>
      </w:r>
      <w:r>
        <w:rPr>
          <w:color w:val="231F20"/>
        </w:rPr>
        <w:t>entidad</w:t>
      </w:r>
      <w:r>
        <w:rPr>
          <w:color w:val="231F20"/>
          <w:spacing w:val="-50"/>
        </w:rPr>
        <w:t> </w:t>
      </w:r>
      <w:r>
        <w:rPr>
          <w:color w:val="231F20"/>
        </w:rPr>
        <w:t>en España, y del control interno que consideren necesario para permitir la preparación de cuentas</w:t>
      </w:r>
      <w:r>
        <w:rPr>
          <w:color w:val="231F20"/>
          <w:spacing w:val="1"/>
        </w:rPr>
        <w:t> </w:t>
      </w:r>
      <w:r>
        <w:rPr>
          <w:color w:val="231F20"/>
        </w:rPr>
        <w:t>anuales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pymes</w:t>
      </w:r>
      <w:r>
        <w:rPr>
          <w:color w:val="231F20"/>
          <w:spacing w:val="-1"/>
        </w:rPr>
        <w:t> </w:t>
      </w:r>
      <w:r>
        <w:rPr>
          <w:color w:val="231F20"/>
        </w:rPr>
        <w:t>libres</w:t>
      </w:r>
      <w:r>
        <w:rPr>
          <w:color w:val="231F20"/>
          <w:spacing w:val="2"/>
        </w:rPr>
        <w:t> </w:t>
      </w:r>
      <w:r>
        <w:rPr>
          <w:color w:val="231F20"/>
        </w:rPr>
        <w:t>de incorrección</w:t>
      </w:r>
      <w:r>
        <w:rPr>
          <w:color w:val="231F20"/>
          <w:spacing w:val="1"/>
        </w:rPr>
        <w:t> </w:t>
      </w:r>
      <w:r>
        <w:rPr>
          <w:color w:val="231F20"/>
        </w:rPr>
        <w:t>material,</w:t>
      </w:r>
      <w:r>
        <w:rPr>
          <w:color w:val="231F20"/>
          <w:spacing w:val="5"/>
        </w:rPr>
        <w:t> </w:t>
      </w:r>
      <w:r>
        <w:rPr>
          <w:color w:val="231F20"/>
        </w:rPr>
        <w:t>debida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fraude</w:t>
      </w:r>
      <w:r>
        <w:rPr>
          <w:color w:val="231F20"/>
          <w:spacing w:val="2"/>
        </w:rPr>
        <w:t> </w:t>
      </w:r>
      <w:r>
        <w:rPr>
          <w:color w:val="231F20"/>
        </w:rPr>
        <w:t>o</w:t>
      </w:r>
      <w:r>
        <w:rPr>
          <w:color w:val="231F20"/>
          <w:spacing w:val="3"/>
        </w:rPr>
        <w:t> </w:t>
      </w:r>
      <w:r>
        <w:rPr>
          <w:color w:val="231F20"/>
        </w:rPr>
        <w:t>error.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64" w:lineRule="auto"/>
        <w:ind w:left="1617" w:right="1604"/>
        <w:jc w:val="both"/>
      </w:pPr>
      <w:r>
        <w:rPr>
          <w:color w:val="231F20"/>
        </w:rPr>
        <w:t>En la preparación de las cuentas anuales de pymes, la administradora única es responsable de la</w:t>
      </w:r>
      <w:r>
        <w:rPr>
          <w:color w:val="231F20"/>
          <w:spacing w:val="1"/>
        </w:rPr>
        <w:t> </w:t>
      </w:r>
      <w:r>
        <w:rPr>
          <w:color w:val="231F20"/>
        </w:rPr>
        <w:t>valoración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capacidad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Sociedad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continuar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empresa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52"/>
        </w:rPr>
        <w:t> </w:t>
      </w:r>
      <w:r>
        <w:rPr>
          <w:color w:val="231F20"/>
        </w:rPr>
        <w:t>funcionamiento,</w:t>
      </w:r>
      <w:r>
        <w:rPr>
          <w:color w:val="231F20"/>
          <w:spacing w:val="1"/>
        </w:rPr>
        <w:t> </w:t>
      </w:r>
      <w:r>
        <w:rPr>
          <w:color w:val="231F20"/>
        </w:rPr>
        <w:t>revelando,</w:t>
      </w:r>
      <w:r>
        <w:rPr>
          <w:color w:val="231F20"/>
          <w:spacing w:val="1"/>
        </w:rPr>
        <w:t> </w:t>
      </w:r>
      <w:r>
        <w:rPr>
          <w:color w:val="231F20"/>
        </w:rPr>
        <w:t>según</w:t>
      </w:r>
      <w:r>
        <w:rPr>
          <w:color w:val="231F20"/>
          <w:spacing w:val="1"/>
        </w:rPr>
        <w:t> </w:t>
      </w:r>
      <w:r>
        <w:rPr>
          <w:color w:val="231F20"/>
        </w:rPr>
        <w:t>corresponda,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cuestiones</w:t>
      </w:r>
      <w:r>
        <w:rPr>
          <w:color w:val="231F20"/>
          <w:spacing w:val="1"/>
        </w:rPr>
        <w:t> </w:t>
      </w:r>
      <w:r>
        <w:rPr>
          <w:color w:val="231F20"/>
        </w:rPr>
        <w:t>relacionadas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empresa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funcionamiento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utilizando el principio contable de</w:t>
      </w:r>
      <w:r>
        <w:rPr>
          <w:color w:val="231F20"/>
          <w:spacing w:val="52"/>
        </w:rPr>
        <w:t> </w:t>
      </w:r>
      <w:r>
        <w:rPr>
          <w:color w:val="231F20"/>
        </w:rPr>
        <w:t>empresa en funcionamiento excepto si la administradora única</w:t>
      </w:r>
      <w:r>
        <w:rPr>
          <w:color w:val="231F20"/>
          <w:spacing w:val="1"/>
        </w:rPr>
        <w:t> </w:t>
      </w:r>
      <w:r>
        <w:rPr>
          <w:color w:val="231F20"/>
        </w:rPr>
        <w:t>tiene intención de liquidar la sociedad o de cesar sus operaciones, o bien no exista otra alternativa</w:t>
      </w:r>
      <w:r>
        <w:rPr>
          <w:color w:val="231F20"/>
          <w:spacing w:val="1"/>
        </w:rPr>
        <w:t> </w:t>
      </w:r>
      <w:r>
        <w:rPr>
          <w:color w:val="231F20"/>
        </w:rPr>
        <w:t>realista.</w:t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left="1617" w:right="0" w:firstLine="0"/>
        <w:jc w:val="left"/>
        <w:rPr>
          <w:b/>
          <w:sz w:val="21"/>
        </w:rPr>
      </w:pPr>
      <w:r>
        <w:rPr>
          <w:b/>
          <w:color w:val="231F20"/>
          <w:sz w:val="21"/>
        </w:rPr>
        <w:t>Responsabilidades</w:t>
      </w:r>
      <w:r>
        <w:rPr>
          <w:b/>
          <w:color w:val="231F20"/>
          <w:spacing w:val="9"/>
          <w:sz w:val="21"/>
        </w:rPr>
        <w:t> </w:t>
      </w:r>
      <w:r>
        <w:rPr>
          <w:b/>
          <w:color w:val="231F20"/>
          <w:sz w:val="21"/>
        </w:rPr>
        <w:t>del</w:t>
      </w:r>
      <w:r>
        <w:rPr>
          <w:b/>
          <w:color w:val="231F20"/>
          <w:spacing w:val="7"/>
          <w:sz w:val="21"/>
        </w:rPr>
        <w:t> </w:t>
      </w:r>
      <w:r>
        <w:rPr>
          <w:b/>
          <w:color w:val="231F20"/>
          <w:sz w:val="21"/>
        </w:rPr>
        <w:t>auditor</w:t>
      </w:r>
      <w:r>
        <w:rPr>
          <w:b/>
          <w:color w:val="231F20"/>
          <w:spacing w:val="6"/>
          <w:sz w:val="21"/>
        </w:rPr>
        <w:t> </w:t>
      </w:r>
      <w:r>
        <w:rPr>
          <w:b/>
          <w:color w:val="231F20"/>
          <w:sz w:val="21"/>
        </w:rPr>
        <w:t>en</w:t>
      </w:r>
      <w:r>
        <w:rPr>
          <w:b/>
          <w:color w:val="231F20"/>
          <w:spacing w:val="9"/>
          <w:sz w:val="21"/>
        </w:rPr>
        <w:t> </w:t>
      </w:r>
      <w:r>
        <w:rPr>
          <w:b/>
          <w:color w:val="231F20"/>
          <w:sz w:val="21"/>
        </w:rPr>
        <w:t>relación</w:t>
      </w:r>
      <w:r>
        <w:rPr>
          <w:b/>
          <w:color w:val="231F20"/>
          <w:spacing w:val="5"/>
          <w:sz w:val="21"/>
        </w:rPr>
        <w:t> </w:t>
      </w:r>
      <w:r>
        <w:rPr>
          <w:b/>
          <w:color w:val="231F20"/>
          <w:sz w:val="21"/>
        </w:rPr>
        <w:t>con</w:t>
      </w:r>
      <w:r>
        <w:rPr>
          <w:b/>
          <w:color w:val="231F20"/>
          <w:spacing w:val="7"/>
          <w:sz w:val="21"/>
        </w:rPr>
        <w:t> </w:t>
      </w:r>
      <w:r>
        <w:rPr>
          <w:b/>
          <w:color w:val="231F20"/>
          <w:sz w:val="21"/>
        </w:rPr>
        <w:t>la</w:t>
      </w:r>
      <w:r>
        <w:rPr>
          <w:b/>
          <w:color w:val="231F20"/>
          <w:spacing w:val="10"/>
          <w:sz w:val="21"/>
        </w:rPr>
        <w:t> </w:t>
      </w:r>
      <w:r>
        <w:rPr>
          <w:b/>
          <w:color w:val="231F20"/>
          <w:sz w:val="21"/>
        </w:rPr>
        <w:t>auditoría</w:t>
      </w:r>
      <w:r>
        <w:rPr>
          <w:b/>
          <w:color w:val="231F20"/>
          <w:spacing w:val="11"/>
          <w:sz w:val="21"/>
        </w:rPr>
        <w:t> </w:t>
      </w:r>
      <w:r>
        <w:rPr>
          <w:b/>
          <w:color w:val="231F20"/>
          <w:sz w:val="21"/>
        </w:rPr>
        <w:t>de</w:t>
      </w:r>
      <w:r>
        <w:rPr>
          <w:b/>
          <w:color w:val="231F20"/>
          <w:spacing w:val="13"/>
          <w:sz w:val="21"/>
        </w:rPr>
        <w:t> </w:t>
      </w:r>
      <w:r>
        <w:rPr>
          <w:b/>
          <w:color w:val="231F20"/>
          <w:sz w:val="21"/>
        </w:rPr>
        <w:t>las</w:t>
      </w:r>
      <w:r>
        <w:rPr>
          <w:b/>
          <w:color w:val="231F20"/>
          <w:spacing w:val="7"/>
          <w:sz w:val="21"/>
        </w:rPr>
        <w:t> </w:t>
      </w:r>
      <w:r>
        <w:rPr>
          <w:b/>
          <w:color w:val="231F20"/>
          <w:sz w:val="21"/>
        </w:rPr>
        <w:t>cuentas</w:t>
      </w:r>
      <w:r>
        <w:rPr>
          <w:b/>
          <w:color w:val="231F20"/>
          <w:spacing w:val="10"/>
          <w:sz w:val="21"/>
        </w:rPr>
        <w:t> </w:t>
      </w:r>
      <w:r>
        <w:rPr>
          <w:b/>
          <w:color w:val="231F20"/>
          <w:sz w:val="21"/>
        </w:rPr>
        <w:t>anuales</w:t>
      </w:r>
      <w:r>
        <w:rPr>
          <w:b/>
          <w:color w:val="231F20"/>
          <w:spacing w:val="9"/>
          <w:sz w:val="21"/>
        </w:rPr>
        <w:t> </w:t>
      </w:r>
      <w:r>
        <w:rPr>
          <w:b/>
          <w:color w:val="231F20"/>
          <w:sz w:val="21"/>
        </w:rPr>
        <w:t>de</w:t>
      </w:r>
      <w:r>
        <w:rPr>
          <w:b/>
          <w:color w:val="231F20"/>
          <w:spacing w:val="10"/>
          <w:sz w:val="21"/>
        </w:rPr>
        <w:t> </w:t>
      </w:r>
      <w:r>
        <w:rPr>
          <w:b/>
          <w:color w:val="231F20"/>
          <w:sz w:val="21"/>
        </w:rPr>
        <w:t>pymes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line="264" w:lineRule="auto"/>
        <w:ind w:left="1617" w:right="1604"/>
        <w:jc w:val="both"/>
      </w:pPr>
      <w:r>
        <w:rPr>
          <w:color w:val="231F20"/>
        </w:rPr>
        <w:t>Nuestros objetivos son obtener una seguridad razonable de que las cuentas anuales de pymes en su</w:t>
      </w:r>
      <w:r>
        <w:rPr>
          <w:color w:val="231F20"/>
          <w:spacing w:val="1"/>
        </w:rPr>
        <w:t> </w:t>
      </w:r>
      <w:r>
        <w:rPr>
          <w:color w:val="231F20"/>
        </w:rPr>
        <w:t>conjunto</w:t>
      </w:r>
      <w:r>
        <w:rPr>
          <w:color w:val="231F20"/>
          <w:spacing w:val="-5"/>
        </w:rPr>
        <w:t> </w:t>
      </w:r>
      <w:r>
        <w:rPr>
          <w:color w:val="231F20"/>
        </w:rPr>
        <w:t>están</w:t>
      </w:r>
      <w:r>
        <w:rPr>
          <w:color w:val="231F20"/>
          <w:spacing w:val="-7"/>
        </w:rPr>
        <w:t> </w:t>
      </w:r>
      <w:r>
        <w:rPr>
          <w:color w:val="231F20"/>
        </w:rPr>
        <w:t>libres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incorrección</w:t>
      </w:r>
      <w:r>
        <w:rPr>
          <w:color w:val="231F20"/>
          <w:spacing w:val="-7"/>
        </w:rPr>
        <w:t> </w:t>
      </w:r>
      <w:r>
        <w:rPr>
          <w:color w:val="231F20"/>
        </w:rPr>
        <w:t>material,</w:t>
      </w:r>
      <w:r>
        <w:rPr>
          <w:color w:val="231F20"/>
          <w:spacing w:val="-5"/>
        </w:rPr>
        <w:t> </w:t>
      </w:r>
      <w:r>
        <w:rPr>
          <w:color w:val="231F20"/>
        </w:rPr>
        <w:t>debida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fraude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error,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emitir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informe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auditoría</w:t>
      </w:r>
      <w:r>
        <w:rPr>
          <w:color w:val="231F20"/>
          <w:spacing w:val="1"/>
        </w:rPr>
        <w:t> </w:t>
      </w:r>
      <w:r>
        <w:rPr>
          <w:color w:val="231F20"/>
        </w:rPr>
        <w:t>que contiene nuestra opinión. Seguridad razonable es un alto grado de seguridad, pero no garantiza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3"/>
        </w:rPr>
        <w:t> </w:t>
      </w:r>
      <w:r>
        <w:rPr>
          <w:color w:val="231F20"/>
        </w:rPr>
        <w:t>una</w:t>
      </w:r>
      <w:r>
        <w:rPr>
          <w:color w:val="231F20"/>
          <w:spacing w:val="13"/>
        </w:rPr>
        <w:t> </w:t>
      </w:r>
      <w:r>
        <w:rPr>
          <w:color w:val="231F20"/>
        </w:rPr>
        <w:t>auditoría</w:t>
      </w:r>
      <w:r>
        <w:rPr>
          <w:color w:val="231F20"/>
          <w:spacing w:val="12"/>
        </w:rPr>
        <w:t> </w:t>
      </w:r>
      <w:r>
        <w:rPr>
          <w:color w:val="231F20"/>
        </w:rPr>
        <w:t>realizada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conformidad</w:t>
      </w:r>
      <w:r>
        <w:rPr>
          <w:color w:val="231F20"/>
          <w:spacing w:val="14"/>
        </w:rPr>
        <w:t> </w:t>
      </w:r>
      <w:r>
        <w:rPr>
          <w:color w:val="231F20"/>
        </w:rPr>
        <w:t>con</w:t>
      </w:r>
      <w:r>
        <w:rPr>
          <w:color w:val="231F20"/>
          <w:spacing w:val="10"/>
        </w:rPr>
        <w:t> </w:t>
      </w:r>
      <w:r>
        <w:rPr>
          <w:color w:val="231F20"/>
        </w:rPr>
        <w:t>la</w:t>
      </w:r>
      <w:r>
        <w:rPr>
          <w:color w:val="231F20"/>
          <w:spacing w:val="11"/>
        </w:rPr>
        <w:t> </w:t>
      </w:r>
      <w:r>
        <w:rPr>
          <w:color w:val="231F20"/>
        </w:rPr>
        <w:t>normativa</w:t>
      </w:r>
      <w:r>
        <w:rPr>
          <w:color w:val="231F20"/>
          <w:spacing w:val="12"/>
        </w:rPr>
        <w:t> </w:t>
      </w:r>
      <w:r>
        <w:rPr>
          <w:color w:val="231F20"/>
        </w:rPr>
        <w:t>reguladora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la</w:t>
      </w:r>
      <w:r>
        <w:rPr>
          <w:color w:val="231F20"/>
          <w:spacing w:val="11"/>
        </w:rPr>
        <w:t> </w:t>
      </w:r>
      <w:r>
        <w:rPr>
          <w:color w:val="231F20"/>
        </w:rPr>
        <w:t>actividad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auditoría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cuentas</w:t>
      </w:r>
      <w:r>
        <w:rPr>
          <w:color w:val="231F20"/>
          <w:spacing w:val="1"/>
        </w:rPr>
        <w:t> </w:t>
      </w:r>
      <w:r>
        <w:rPr>
          <w:color w:val="231F20"/>
        </w:rPr>
        <w:t>vigente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España</w:t>
      </w:r>
      <w:r>
        <w:rPr>
          <w:color w:val="231F20"/>
          <w:spacing w:val="1"/>
        </w:rPr>
        <w:t> </w:t>
      </w:r>
      <w:r>
        <w:rPr>
          <w:color w:val="231F20"/>
        </w:rPr>
        <w:t>siempre</w:t>
      </w:r>
      <w:r>
        <w:rPr>
          <w:color w:val="231F20"/>
          <w:spacing w:val="1"/>
        </w:rPr>
        <w:t> </w:t>
      </w:r>
      <w:r>
        <w:rPr>
          <w:color w:val="231F20"/>
        </w:rPr>
        <w:t>detecte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incorrección</w:t>
      </w:r>
      <w:r>
        <w:rPr>
          <w:color w:val="231F20"/>
          <w:spacing w:val="1"/>
        </w:rPr>
        <w:t> </w:t>
      </w:r>
      <w:r>
        <w:rPr>
          <w:color w:val="231F20"/>
        </w:rPr>
        <w:t>material</w:t>
      </w:r>
      <w:r>
        <w:rPr>
          <w:color w:val="231F20"/>
          <w:spacing w:val="1"/>
        </w:rPr>
        <w:t> </w:t>
      </w:r>
      <w:r>
        <w:rPr>
          <w:color w:val="231F20"/>
        </w:rPr>
        <w:t>cuando</w:t>
      </w:r>
      <w:r>
        <w:rPr>
          <w:color w:val="231F20"/>
          <w:spacing w:val="1"/>
        </w:rPr>
        <w:t> </w:t>
      </w:r>
      <w:r>
        <w:rPr>
          <w:color w:val="231F20"/>
        </w:rPr>
        <w:t>existe.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incorrecciones pueden deberse a fraude o error y se consideran materiales si, individualmente o de</w:t>
      </w:r>
      <w:r>
        <w:rPr>
          <w:color w:val="231F20"/>
          <w:spacing w:val="1"/>
        </w:rPr>
        <w:t> </w:t>
      </w:r>
      <w:r>
        <w:rPr>
          <w:color w:val="231F20"/>
        </w:rPr>
        <w:t>forma agregada, puede preverse razonablemente que influyan en las decisiones económicas que los</w:t>
      </w:r>
      <w:r>
        <w:rPr>
          <w:color w:val="231F20"/>
          <w:spacing w:val="1"/>
        </w:rPr>
        <w:t> </w:t>
      </w:r>
      <w:r>
        <w:rPr>
          <w:color w:val="231F20"/>
        </w:rPr>
        <w:t>usuarios</w:t>
      </w:r>
      <w:r>
        <w:rPr>
          <w:color w:val="231F20"/>
          <w:spacing w:val="-2"/>
        </w:rPr>
        <w:t> </w:t>
      </w:r>
      <w:r>
        <w:rPr>
          <w:color w:val="231F20"/>
        </w:rPr>
        <w:t>toman basándose</w:t>
      </w:r>
      <w:r>
        <w:rPr>
          <w:color w:val="231F20"/>
          <w:spacing w:val="5"/>
        </w:rPr>
        <w:t> </w:t>
      </w:r>
      <w:r>
        <w:rPr>
          <w:color w:val="231F20"/>
        </w:rPr>
        <w:t>en</w:t>
      </w:r>
      <w:r>
        <w:rPr>
          <w:color w:val="231F20"/>
          <w:spacing w:val="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cuentas</w:t>
      </w:r>
      <w:r>
        <w:rPr>
          <w:color w:val="231F20"/>
          <w:spacing w:val="2"/>
        </w:rPr>
        <w:t> </w:t>
      </w:r>
      <w:r>
        <w:rPr>
          <w:color w:val="231F20"/>
        </w:rPr>
        <w:t>anuales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pymes.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264" w:lineRule="auto"/>
        <w:ind w:left="1617" w:right="1604"/>
        <w:jc w:val="both"/>
      </w:pPr>
      <w:r>
        <w:rPr>
          <w:color w:val="231F20"/>
        </w:rPr>
        <w:t>Como parte de una auditoría de conformidad con la normativa reguladora de la actividad de auditoría</w:t>
      </w:r>
      <w:r>
        <w:rPr>
          <w:color w:val="231F20"/>
          <w:spacing w:val="1"/>
        </w:rPr>
        <w:t> </w:t>
      </w:r>
      <w:r>
        <w:rPr>
          <w:color w:val="231F20"/>
        </w:rPr>
        <w:t>de cuentas en España, aplicamos nuestro juicio profesional y mantenemos una actitud de escepticismo</w:t>
      </w:r>
      <w:r>
        <w:rPr>
          <w:color w:val="231F20"/>
          <w:spacing w:val="-50"/>
        </w:rPr>
        <w:t> </w:t>
      </w:r>
      <w:r>
        <w:rPr>
          <w:color w:val="231F20"/>
        </w:rPr>
        <w:t>profesional durante</w:t>
      </w:r>
      <w:r>
        <w:rPr>
          <w:color w:val="231F20"/>
          <w:spacing w:val="1"/>
        </w:rPr>
        <w:t> </w:t>
      </w:r>
      <w:r>
        <w:rPr>
          <w:color w:val="231F20"/>
        </w:rPr>
        <w:t>toda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auditoría.</w:t>
      </w:r>
      <w:r>
        <w:rPr>
          <w:color w:val="231F20"/>
          <w:spacing w:val="1"/>
        </w:rPr>
        <w:t> </w:t>
      </w:r>
      <w:r>
        <w:rPr>
          <w:color w:val="231F20"/>
        </w:rPr>
        <w:t>También:</w:t>
      </w:r>
    </w:p>
    <w:p>
      <w:pPr>
        <w:pStyle w:val="ListParagraph"/>
        <w:numPr>
          <w:ilvl w:val="0"/>
          <w:numId w:val="1"/>
        </w:numPr>
        <w:tabs>
          <w:tab w:pos="2170" w:val="left" w:leader="none"/>
        </w:tabs>
        <w:spacing w:line="244" w:lineRule="auto" w:before="155" w:after="0"/>
        <w:ind w:left="2169" w:right="1606" w:hanging="415"/>
        <w:jc w:val="both"/>
        <w:rPr>
          <w:sz w:val="21"/>
        </w:rPr>
      </w:pPr>
      <w:r>
        <w:rPr>
          <w:color w:val="231F20"/>
          <w:sz w:val="21"/>
        </w:rPr>
        <w:t>Identificamos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y valoramos los riesgos de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incorrección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material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en las cuentas anuales de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pymes,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debida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a fraude o error,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diseñamos y aplicamos procedimientos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de auditoría para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responder a dichos riesgos y obtenemos evidencia de auditoría suficiente y adecuada para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proporcionar una base para nuestra opinión. El riesgo de no detectar una incorrección material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debida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fraude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es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más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elevado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que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el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caso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una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incorrección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material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debida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error,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ya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before="0"/>
        <w:ind w:left="2591" w:right="2584" w:firstLine="0"/>
        <w:jc w:val="center"/>
        <w:rPr>
          <w:rFonts w:ascii="Calibri" w:hAnsi="Calibri"/>
          <w:sz w:val="15"/>
        </w:rPr>
      </w:pPr>
      <w:r>
        <w:rPr>
          <w:rFonts w:ascii="Calibri" w:hAnsi="Calibri"/>
          <w:color w:val="BFC1C3"/>
          <w:spacing w:val="-1"/>
          <w:w w:val="105"/>
          <w:sz w:val="15"/>
        </w:rPr>
        <w:t>Netadia</w:t>
      </w:r>
      <w:r>
        <w:rPr>
          <w:rFonts w:ascii="Calibri" w:hAnsi="Calibri"/>
          <w:color w:val="BFC1C3"/>
          <w:spacing w:val="-5"/>
          <w:w w:val="105"/>
          <w:sz w:val="15"/>
        </w:rPr>
        <w:t> </w:t>
      </w:r>
      <w:r>
        <w:rPr>
          <w:rFonts w:ascii="Calibri" w:hAnsi="Calibri"/>
          <w:color w:val="BFC1C3"/>
          <w:spacing w:val="-1"/>
          <w:w w:val="105"/>
          <w:sz w:val="15"/>
        </w:rPr>
        <w:t>Europa,</w:t>
      </w:r>
      <w:r>
        <w:rPr>
          <w:rFonts w:ascii="Calibri" w:hAnsi="Calibri"/>
          <w:color w:val="BFC1C3"/>
          <w:spacing w:val="-5"/>
          <w:w w:val="105"/>
          <w:sz w:val="15"/>
        </w:rPr>
        <w:t> </w:t>
      </w:r>
      <w:r>
        <w:rPr>
          <w:rFonts w:ascii="Calibri" w:hAnsi="Calibri"/>
          <w:color w:val="BFC1C3"/>
          <w:spacing w:val="-1"/>
          <w:w w:val="105"/>
          <w:sz w:val="15"/>
        </w:rPr>
        <w:t>S.LP.</w:t>
      </w:r>
      <w:r>
        <w:rPr>
          <w:rFonts w:ascii="Calibri" w:hAnsi="Calibri"/>
          <w:color w:val="BFC1C3"/>
          <w:spacing w:val="-5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–</w:t>
      </w:r>
      <w:r>
        <w:rPr>
          <w:rFonts w:ascii="Calibri" w:hAnsi="Calibri"/>
          <w:color w:val="BFC1C3"/>
          <w:spacing w:val="-6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C.I.F.</w:t>
      </w:r>
      <w:r>
        <w:rPr>
          <w:rFonts w:ascii="Calibri" w:hAnsi="Calibri"/>
          <w:color w:val="BFC1C3"/>
          <w:spacing w:val="-7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B91857870</w:t>
      </w:r>
      <w:r>
        <w:rPr>
          <w:rFonts w:ascii="Calibri" w:hAnsi="Calibri"/>
          <w:color w:val="BFC1C3"/>
          <w:spacing w:val="-4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-</w:t>
      </w:r>
      <w:r>
        <w:rPr>
          <w:rFonts w:ascii="Calibri" w:hAnsi="Calibri"/>
          <w:color w:val="BFC1C3"/>
          <w:spacing w:val="-5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Inscrita</w:t>
      </w:r>
      <w:r>
        <w:rPr>
          <w:rFonts w:ascii="Calibri" w:hAnsi="Calibri"/>
          <w:color w:val="BFC1C3"/>
          <w:spacing w:val="-7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en</w:t>
      </w:r>
      <w:r>
        <w:rPr>
          <w:rFonts w:ascii="Calibri" w:hAnsi="Calibri"/>
          <w:color w:val="BFC1C3"/>
          <w:spacing w:val="-8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RM</w:t>
      </w:r>
      <w:r>
        <w:rPr>
          <w:rFonts w:ascii="Calibri" w:hAnsi="Calibri"/>
          <w:color w:val="BFC1C3"/>
          <w:spacing w:val="-7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de</w:t>
      </w:r>
      <w:r>
        <w:rPr>
          <w:rFonts w:ascii="Calibri" w:hAnsi="Calibri"/>
          <w:color w:val="BFC1C3"/>
          <w:spacing w:val="-6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Sevilla,</w:t>
      </w:r>
      <w:r>
        <w:rPr>
          <w:rFonts w:ascii="Calibri" w:hAnsi="Calibri"/>
          <w:color w:val="BFC1C3"/>
          <w:spacing w:val="-4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Tomo</w:t>
      </w:r>
      <w:r>
        <w:rPr>
          <w:rFonts w:ascii="Calibri" w:hAnsi="Calibri"/>
          <w:color w:val="BFC1C3"/>
          <w:spacing w:val="-9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5420,</w:t>
      </w:r>
      <w:r>
        <w:rPr>
          <w:rFonts w:ascii="Calibri" w:hAnsi="Calibri"/>
          <w:color w:val="BFC1C3"/>
          <w:spacing w:val="-6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folio</w:t>
      </w:r>
      <w:r>
        <w:rPr>
          <w:rFonts w:ascii="Calibri" w:hAnsi="Calibri"/>
          <w:color w:val="BFC1C3"/>
          <w:spacing w:val="-5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131.</w:t>
      </w:r>
      <w:r>
        <w:rPr>
          <w:rFonts w:ascii="Calibri" w:hAnsi="Calibri"/>
          <w:color w:val="BFC1C3"/>
          <w:spacing w:val="-6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hoja</w:t>
      </w:r>
      <w:r>
        <w:rPr>
          <w:rFonts w:ascii="Calibri" w:hAnsi="Calibri"/>
          <w:color w:val="BFC1C3"/>
          <w:spacing w:val="-6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SE-90843.</w:t>
      </w:r>
    </w:p>
    <w:p>
      <w:pPr>
        <w:spacing w:before="23"/>
        <w:ind w:left="2591" w:right="2584" w:firstLine="0"/>
        <w:jc w:val="center"/>
        <w:rPr>
          <w:rFonts w:ascii="Calibri" w:hAnsi="Calibri"/>
          <w:sz w:val="15"/>
        </w:rPr>
      </w:pPr>
      <w:r>
        <w:rPr>
          <w:rFonts w:ascii="Calibri" w:hAnsi="Calibri"/>
          <w:color w:val="BFC1C3"/>
          <w:w w:val="105"/>
          <w:sz w:val="15"/>
        </w:rPr>
        <w:t>Inscrita</w:t>
      </w:r>
      <w:r>
        <w:rPr>
          <w:rFonts w:ascii="Calibri" w:hAnsi="Calibri"/>
          <w:color w:val="BFC1C3"/>
          <w:spacing w:val="-7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en</w:t>
      </w:r>
      <w:r>
        <w:rPr>
          <w:rFonts w:ascii="Calibri" w:hAnsi="Calibri"/>
          <w:color w:val="BFC1C3"/>
          <w:spacing w:val="-5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el</w:t>
      </w:r>
      <w:r>
        <w:rPr>
          <w:rFonts w:ascii="Calibri" w:hAnsi="Calibri"/>
          <w:color w:val="BFC1C3"/>
          <w:spacing w:val="-7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Registro</w:t>
      </w:r>
      <w:r>
        <w:rPr>
          <w:rFonts w:ascii="Calibri" w:hAnsi="Calibri"/>
          <w:color w:val="BFC1C3"/>
          <w:spacing w:val="-6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Oficial</w:t>
      </w:r>
      <w:r>
        <w:rPr>
          <w:rFonts w:ascii="Calibri" w:hAnsi="Calibri"/>
          <w:color w:val="BFC1C3"/>
          <w:spacing w:val="-5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de</w:t>
      </w:r>
      <w:r>
        <w:rPr>
          <w:rFonts w:ascii="Calibri" w:hAnsi="Calibri"/>
          <w:color w:val="BFC1C3"/>
          <w:spacing w:val="-7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Auditores</w:t>
      </w:r>
      <w:r>
        <w:rPr>
          <w:rFonts w:ascii="Calibri" w:hAnsi="Calibri"/>
          <w:color w:val="BFC1C3"/>
          <w:spacing w:val="-7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de</w:t>
      </w:r>
      <w:r>
        <w:rPr>
          <w:rFonts w:ascii="Calibri" w:hAnsi="Calibri"/>
          <w:color w:val="BFC1C3"/>
          <w:spacing w:val="-6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Cuentas</w:t>
      </w:r>
      <w:r>
        <w:rPr>
          <w:rFonts w:ascii="Calibri" w:hAnsi="Calibri"/>
          <w:color w:val="BFC1C3"/>
          <w:spacing w:val="-8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con</w:t>
      </w:r>
      <w:r>
        <w:rPr>
          <w:rFonts w:ascii="Calibri" w:hAnsi="Calibri"/>
          <w:color w:val="BFC1C3"/>
          <w:spacing w:val="-8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número</w:t>
      </w:r>
      <w:r>
        <w:rPr>
          <w:rFonts w:ascii="Calibri" w:hAnsi="Calibri"/>
          <w:color w:val="BFC1C3"/>
          <w:spacing w:val="-7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S-2114.</w:t>
      </w:r>
    </w:p>
    <w:p>
      <w:pPr>
        <w:spacing w:before="17"/>
        <w:ind w:left="0" w:right="1608" w:firstLine="0"/>
        <w:jc w:val="right"/>
        <w:rPr>
          <w:sz w:val="19"/>
        </w:rPr>
      </w:pPr>
      <w:r>
        <w:rPr>
          <w:color w:val="231F20"/>
          <w:w w:val="101"/>
          <w:sz w:val="19"/>
        </w:rPr>
        <w:t>2</w:t>
      </w:r>
    </w:p>
    <w:p>
      <w:pPr>
        <w:spacing w:after="0"/>
        <w:jc w:val="right"/>
        <w:rPr>
          <w:sz w:val="19"/>
        </w:rPr>
        <w:sectPr>
          <w:pgSz w:w="11910" w:h="16840"/>
          <w:pgMar w:top="980" w:bottom="280" w:left="40" w:right="40"/>
        </w:sectPr>
      </w:pPr>
    </w:p>
    <w:p>
      <w:pPr>
        <w:pStyle w:val="BodyText"/>
        <w:ind w:left="1763"/>
        <w:rPr>
          <w:sz w:val="20"/>
        </w:rPr>
      </w:pPr>
      <w:r>
        <w:rPr>
          <w:sz w:val="20"/>
        </w:rPr>
        <w:drawing>
          <wp:inline distT="0" distB="0" distL="0" distR="0">
            <wp:extent cx="5344797" cy="591312"/>
            <wp:effectExtent l="0" t="0" r="0" b="0"/>
            <wp:docPr id="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797" cy="59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213"/>
        <w:ind w:left="2169" w:right="1606"/>
        <w:jc w:val="both"/>
      </w:pPr>
      <w:r>
        <w:rPr>
          <w:color w:val="231F20"/>
        </w:rPr>
        <w:t>que el fraude puede implicar colusión, falsificación, omisiones deliberadas, manifestaciones</w:t>
      </w:r>
      <w:r>
        <w:rPr>
          <w:color w:val="231F20"/>
          <w:spacing w:val="1"/>
        </w:rPr>
        <w:t> </w:t>
      </w:r>
      <w:r>
        <w:rPr>
          <w:color w:val="231F20"/>
        </w:rPr>
        <w:t>intencionadamente</w:t>
      </w:r>
      <w:r>
        <w:rPr>
          <w:color w:val="231F20"/>
          <w:spacing w:val="1"/>
        </w:rPr>
        <w:t> </w:t>
      </w:r>
      <w:r>
        <w:rPr>
          <w:color w:val="231F20"/>
        </w:rPr>
        <w:t>erróneas,</w:t>
      </w:r>
      <w:r>
        <w:rPr>
          <w:color w:val="231F20"/>
          <w:spacing w:val="2"/>
        </w:rPr>
        <w:t> </w:t>
      </w:r>
      <w:r>
        <w:rPr>
          <w:color w:val="231F20"/>
        </w:rPr>
        <w:t>o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elusión</w:t>
      </w:r>
      <w:r>
        <w:rPr>
          <w:color w:val="231F20"/>
          <w:spacing w:val="2"/>
        </w:rPr>
        <w:t> </w:t>
      </w:r>
      <w:r>
        <w:rPr>
          <w:color w:val="231F20"/>
        </w:rPr>
        <w:t>del</w:t>
      </w:r>
      <w:r>
        <w:rPr>
          <w:color w:val="231F20"/>
          <w:spacing w:val="2"/>
        </w:rPr>
        <w:t> </w:t>
      </w:r>
      <w:r>
        <w:rPr>
          <w:color w:val="231F20"/>
        </w:rPr>
        <w:t>control</w:t>
      </w:r>
      <w:r>
        <w:rPr>
          <w:color w:val="231F20"/>
          <w:spacing w:val="2"/>
        </w:rPr>
        <w:t> </w:t>
      </w:r>
      <w:r>
        <w:rPr>
          <w:color w:val="231F20"/>
        </w:rPr>
        <w:t>interno.</w:t>
      </w:r>
    </w:p>
    <w:p>
      <w:pPr>
        <w:pStyle w:val="ListParagraph"/>
        <w:numPr>
          <w:ilvl w:val="0"/>
          <w:numId w:val="1"/>
        </w:numPr>
        <w:tabs>
          <w:tab w:pos="2170" w:val="left" w:leader="none"/>
        </w:tabs>
        <w:spacing w:line="242" w:lineRule="auto" w:before="5" w:after="0"/>
        <w:ind w:left="2169" w:right="1605" w:hanging="415"/>
        <w:jc w:val="both"/>
        <w:rPr>
          <w:sz w:val="21"/>
        </w:rPr>
      </w:pPr>
      <w:r>
        <w:rPr>
          <w:color w:val="231F20"/>
          <w:sz w:val="21"/>
        </w:rPr>
        <w:t>Obtenemos conocimiento del control interno relevante para la auditoría con el fin de diseñar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procedimientos de auditoría que sean adecuados en función de las circunstancias, y no con la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finalidad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expresar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una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opinión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sobre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eficacia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del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control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interno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entidad.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2170" w:val="left" w:leader="none"/>
        </w:tabs>
        <w:spacing w:line="242" w:lineRule="auto" w:before="0" w:after="0"/>
        <w:ind w:left="2169" w:right="1606" w:hanging="415"/>
        <w:jc w:val="both"/>
        <w:rPr>
          <w:sz w:val="21"/>
        </w:rPr>
      </w:pPr>
      <w:r>
        <w:rPr>
          <w:color w:val="231F20"/>
          <w:sz w:val="21"/>
        </w:rPr>
        <w:t>Evaluamos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si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las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políticas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contables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aplicadas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son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adecuadas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y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razonabilidad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las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estimaciones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contables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y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la correspondiente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información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revelada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por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administradora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única.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"/>
        </w:numPr>
        <w:tabs>
          <w:tab w:pos="2170" w:val="left" w:leader="none"/>
        </w:tabs>
        <w:spacing w:line="244" w:lineRule="auto" w:before="0" w:after="0"/>
        <w:ind w:left="2169" w:right="1602" w:hanging="415"/>
        <w:jc w:val="both"/>
        <w:rPr>
          <w:sz w:val="21"/>
        </w:rPr>
      </w:pPr>
      <w:r>
        <w:rPr>
          <w:color w:val="231F20"/>
          <w:sz w:val="21"/>
        </w:rPr>
        <w:t>Concluimos sobre si es adecuada la utilización, por la administradora única, del principio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contable de empresa en funcionamiento y, basándonos en la evidencia de auditoría obtenida,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concluimos sobre si existe o no una incertidumbre material relacionada con hechos o con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condiciones que pueden generar dudas significativas sobre la capacidad de la Sociedad para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continuar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como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empresa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funcionamiento.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Si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concluimos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que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existe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una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incertidumbre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material,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requiere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que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llamemos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atención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nuestro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informe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auditoría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sobre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correspondiente información revelada en las cuentas anuales de pymes o, si dichas revelaciones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no son adecuadas, que expresemos una opinión modificada. Nuestras conclusiones se basan en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la evidencia de auditoría obtenida hasta la fecha de nuestro informe de auditoría. Sin embargo,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los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hechos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condiciones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futuros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pueden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ser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causa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que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Sociedad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deje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ser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una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empresa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funcionamiento.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"/>
        </w:numPr>
        <w:tabs>
          <w:tab w:pos="2170" w:val="left" w:leader="none"/>
        </w:tabs>
        <w:spacing w:line="244" w:lineRule="auto" w:before="0" w:after="0"/>
        <w:ind w:left="2169" w:right="1606" w:hanging="415"/>
        <w:jc w:val="both"/>
        <w:rPr>
          <w:sz w:val="21"/>
        </w:rPr>
      </w:pPr>
      <w:r>
        <w:rPr>
          <w:color w:val="231F20"/>
          <w:sz w:val="21"/>
        </w:rPr>
        <w:t>Evaluamos la presentación global, la estructura y el contenido de las cuentas anuales de pymes,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incluida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información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revelada,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y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si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las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cuentas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anuales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pymes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representan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las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transacciones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y hechos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subyacentes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un modo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que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logran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expresar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imagen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fiel.</w:t>
      </w:r>
    </w:p>
    <w:p>
      <w:pPr>
        <w:pStyle w:val="BodyText"/>
        <w:spacing w:before="5"/>
      </w:pPr>
    </w:p>
    <w:p>
      <w:pPr>
        <w:pStyle w:val="BodyText"/>
        <w:spacing w:line="244" w:lineRule="auto"/>
        <w:ind w:left="1617" w:right="1605"/>
        <w:jc w:val="both"/>
      </w:pPr>
      <w:r>
        <w:rPr>
          <w:color w:val="231F20"/>
        </w:rPr>
        <w:t>Nos comunicamos con la administradora única de la</w:t>
      </w:r>
      <w:r>
        <w:rPr>
          <w:color w:val="231F20"/>
          <w:spacing w:val="52"/>
        </w:rPr>
        <w:t> </w:t>
      </w:r>
      <w:r>
        <w:rPr>
          <w:color w:val="231F20"/>
        </w:rPr>
        <w:t>entidad en relación con, entre</w:t>
      </w:r>
      <w:r>
        <w:rPr>
          <w:color w:val="231F20"/>
          <w:spacing w:val="53"/>
        </w:rPr>
        <w:t> </w:t>
      </w:r>
      <w:r>
        <w:rPr>
          <w:color w:val="231F20"/>
        </w:rPr>
        <w:t>otras cuestiones,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3"/>
        </w:rPr>
        <w:t> </w:t>
      </w:r>
      <w:r>
        <w:rPr>
          <w:color w:val="231F20"/>
        </w:rPr>
        <w:t>alcance</w:t>
      </w:r>
      <w:r>
        <w:rPr>
          <w:color w:val="231F20"/>
          <w:spacing w:val="16"/>
        </w:rPr>
        <w:t> </w:t>
      </w:r>
      <w:r>
        <w:rPr>
          <w:color w:val="231F20"/>
        </w:rPr>
        <w:t>y</w:t>
      </w:r>
      <w:r>
        <w:rPr>
          <w:color w:val="231F20"/>
          <w:spacing w:val="14"/>
        </w:rPr>
        <w:t> </w:t>
      </w:r>
      <w:r>
        <w:rPr>
          <w:color w:val="231F20"/>
        </w:rPr>
        <w:t>el</w:t>
      </w:r>
      <w:r>
        <w:rPr>
          <w:color w:val="231F20"/>
          <w:spacing w:val="16"/>
        </w:rPr>
        <w:t> </w:t>
      </w:r>
      <w:r>
        <w:rPr>
          <w:color w:val="231F20"/>
        </w:rPr>
        <w:t>momento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realización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la</w:t>
      </w:r>
      <w:r>
        <w:rPr>
          <w:color w:val="231F20"/>
          <w:spacing w:val="11"/>
        </w:rPr>
        <w:t> </w:t>
      </w:r>
      <w:r>
        <w:rPr>
          <w:color w:val="231F20"/>
        </w:rPr>
        <w:t>auditoría</w:t>
      </w:r>
      <w:r>
        <w:rPr>
          <w:color w:val="231F20"/>
          <w:spacing w:val="11"/>
        </w:rPr>
        <w:t> </w:t>
      </w:r>
      <w:r>
        <w:rPr>
          <w:color w:val="231F20"/>
        </w:rPr>
        <w:t>planificados</w:t>
      </w:r>
      <w:r>
        <w:rPr>
          <w:color w:val="231F20"/>
          <w:spacing w:val="15"/>
        </w:rPr>
        <w:t> </w:t>
      </w:r>
      <w:r>
        <w:rPr>
          <w:color w:val="231F20"/>
        </w:rPr>
        <w:t>y</w:t>
      </w:r>
      <w:r>
        <w:rPr>
          <w:color w:val="231F20"/>
          <w:spacing w:val="12"/>
        </w:rPr>
        <w:t> </w:t>
      </w:r>
      <w:r>
        <w:rPr>
          <w:color w:val="231F20"/>
        </w:rPr>
        <w:t>los</w:t>
      </w:r>
      <w:r>
        <w:rPr>
          <w:color w:val="231F20"/>
          <w:spacing w:val="14"/>
        </w:rPr>
        <w:t> </w:t>
      </w:r>
      <w:r>
        <w:rPr>
          <w:color w:val="231F20"/>
        </w:rPr>
        <w:t>hallazgos</w:t>
      </w:r>
      <w:r>
        <w:rPr>
          <w:color w:val="231F20"/>
          <w:spacing w:val="17"/>
        </w:rPr>
        <w:t> </w:t>
      </w:r>
      <w:r>
        <w:rPr>
          <w:color w:val="231F20"/>
        </w:rPr>
        <w:t>significativos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 auditoría, así como cualquier deficiencia significativa del control interno que identificamos en el</w:t>
      </w:r>
      <w:r>
        <w:rPr>
          <w:color w:val="231F20"/>
          <w:spacing w:val="1"/>
        </w:rPr>
        <w:t> </w:t>
      </w:r>
      <w:r>
        <w:rPr>
          <w:color w:val="231F20"/>
        </w:rPr>
        <w:t>transcurso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 auditoría.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1617" w:right="1606"/>
        <w:jc w:val="both"/>
      </w:pPr>
      <w:r>
        <w:rPr>
          <w:color w:val="231F20"/>
        </w:rPr>
        <w:t>Entre los riesgos significativos que han sido objeto de comunicación a la administradora única de la</w:t>
      </w:r>
      <w:r>
        <w:rPr>
          <w:color w:val="231F20"/>
          <w:spacing w:val="1"/>
        </w:rPr>
        <w:t> </w:t>
      </w:r>
      <w:r>
        <w:rPr>
          <w:color w:val="231F20"/>
        </w:rPr>
        <w:t>entidad, determinamos los que han sido de la mayor significatividad en la auditoría de las cuentas</w:t>
      </w:r>
      <w:r>
        <w:rPr>
          <w:color w:val="231F20"/>
          <w:spacing w:val="1"/>
        </w:rPr>
        <w:t> </w:t>
      </w:r>
      <w:r>
        <w:rPr>
          <w:color w:val="231F20"/>
        </w:rPr>
        <w:t>anuales de pymes del periodo actual y que son, en consecuencia, los riesgos considerados más</w:t>
      </w:r>
      <w:r>
        <w:rPr>
          <w:color w:val="231F20"/>
          <w:spacing w:val="1"/>
        </w:rPr>
        <w:t> </w:t>
      </w:r>
      <w:r>
        <w:rPr>
          <w:color w:val="231F20"/>
        </w:rPr>
        <w:t>significativos.</w:t>
      </w:r>
    </w:p>
    <w:p>
      <w:pPr>
        <w:pStyle w:val="BodyText"/>
        <w:spacing w:before="4"/>
      </w:pPr>
    </w:p>
    <w:p>
      <w:pPr>
        <w:pStyle w:val="BodyText"/>
        <w:spacing w:line="261" w:lineRule="auto"/>
        <w:ind w:left="1617" w:right="1604"/>
        <w:jc w:val="both"/>
      </w:pPr>
      <w:r>
        <w:rPr>
          <w:color w:val="231F20"/>
        </w:rPr>
        <w:t>Describimos esos</w:t>
      </w:r>
      <w:r>
        <w:rPr>
          <w:color w:val="231F20"/>
          <w:spacing w:val="1"/>
        </w:rPr>
        <w:t> </w:t>
      </w:r>
      <w:r>
        <w:rPr>
          <w:color w:val="231F20"/>
        </w:rPr>
        <w:t>riesgos en</w:t>
      </w:r>
      <w:r>
        <w:rPr>
          <w:color w:val="231F20"/>
          <w:spacing w:val="1"/>
        </w:rPr>
        <w:t> </w:t>
      </w:r>
      <w:r>
        <w:rPr>
          <w:color w:val="231F20"/>
        </w:rPr>
        <w:t>nuestro informe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auditoría salvo</w:t>
      </w:r>
      <w:r>
        <w:rPr>
          <w:color w:val="231F20"/>
          <w:spacing w:val="1"/>
        </w:rPr>
        <w:t> </w:t>
      </w:r>
      <w:r>
        <w:rPr>
          <w:color w:val="231F20"/>
        </w:rPr>
        <w:t>que las disposiciones</w:t>
      </w:r>
      <w:r>
        <w:rPr>
          <w:color w:val="231F20"/>
          <w:spacing w:val="1"/>
        </w:rPr>
        <w:t> </w:t>
      </w:r>
      <w:r>
        <w:rPr>
          <w:color w:val="231F20"/>
        </w:rPr>
        <w:t>legales o</w:t>
      </w:r>
      <w:r>
        <w:rPr>
          <w:color w:val="231F20"/>
          <w:spacing w:val="1"/>
        </w:rPr>
        <w:t> </w:t>
      </w:r>
      <w:r>
        <w:rPr>
          <w:color w:val="231F20"/>
        </w:rPr>
        <w:t>reglamentarias prohíban</w:t>
      </w:r>
      <w:r>
        <w:rPr>
          <w:color w:val="231F20"/>
          <w:spacing w:val="3"/>
        </w:rPr>
        <w:t> </w:t>
      </w:r>
      <w:r>
        <w:rPr>
          <w:color w:val="231F20"/>
        </w:rPr>
        <w:t>revelar</w:t>
      </w:r>
      <w:r>
        <w:rPr>
          <w:color w:val="231F20"/>
          <w:spacing w:val="1"/>
        </w:rPr>
        <w:t> </w:t>
      </w:r>
      <w:r>
        <w:rPr>
          <w:color w:val="231F20"/>
        </w:rPr>
        <w:t>públicamente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cuestión.</w:t>
      </w:r>
    </w:p>
    <w:p>
      <w:pPr>
        <w:pStyle w:val="BodyText"/>
        <w:spacing w:before="162"/>
        <w:ind w:left="1617"/>
        <w:jc w:val="both"/>
      </w:pPr>
      <w:r>
        <w:rPr>
          <w:color w:val="231F20"/>
        </w:rPr>
        <w:t>Netadia</w:t>
      </w:r>
      <w:r>
        <w:rPr>
          <w:color w:val="231F20"/>
          <w:spacing w:val="13"/>
        </w:rPr>
        <w:t> </w:t>
      </w:r>
      <w:r>
        <w:rPr>
          <w:color w:val="231F20"/>
        </w:rPr>
        <w:t>Europa,</w:t>
      </w:r>
      <w:r>
        <w:rPr>
          <w:color w:val="231F20"/>
          <w:spacing w:val="9"/>
        </w:rPr>
        <w:t> </w:t>
      </w:r>
      <w:r>
        <w:rPr>
          <w:color w:val="231F20"/>
        </w:rPr>
        <w:t>S.L.P.</w:t>
      </w:r>
    </w:p>
    <w:p>
      <w:pPr>
        <w:pStyle w:val="BodyText"/>
        <w:spacing w:line="261" w:lineRule="auto" w:before="20"/>
        <w:ind w:left="1617" w:right="6763"/>
      </w:pPr>
      <w:r>
        <w:rPr>
          <w:color w:val="231F20"/>
        </w:rPr>
        <w:t>Avda.</w:t>
      </w:r>
      <w:r>
        <w:rPr>
          <w:color w:val="231F20"/>
          <w:spacing w:val="5"/>
        </w:rPr>
        <w:t> </w:t>
      </w:r>
      <w:r>
        <w:rPr>
          <w:color w:val="231F20"/>
        </w:rPr>
        <w:t>Alcalde</w:t>
      </w:r>
      <w:r>
        <w:rPr>
          <w:color w:val="231F20"/>
          <w:spacing w:val="8"/>
        </w:rPr>
        <w:t> </w:t>
      </w:r>
      <w:r>
        <w:rPr>
          <w:color w:val="231F20"/>
        </w:rPr>
        <w:t>Luis</w:t>
      </w:r>
      <w:r>
        <w:rPr>
          <w:color w:val="231F20"/>
          <w:spacing w:val="8"/>
        </w:rPr>
        <w:t> </w:t>
      </w:r>
      <w:r>
        <w:rPr>
          <w:color w:val="231F20"/>
        </w:rPr>
        <w:t>Uruñuela</w:t>
      </w:r>
      <w:r>
        <w:rPr>
          <w:color w:val="231F20"/>
          <w:spacing w:val="7"/>
        </w:rPr>
        <w:t> </w:t>
      </w:r>
      <w:r>
        <w:rPr>
          <w:color w:val="231F20"/>
        </w:rPr>
        <w:t>nº</w:t>
      </w:r>
      <w:r>
        <w:rPr>
          <w:color w:val="231F20"/>
          <w:spacing w:val="11"/>
        </w:rPr>
        <w:t> </w:t>
      </w:r>
      <w:r>
        <w:rPr>
          <w:color w:val="231F20"/>
        </w:rPr>
        <w:t>6</w:t>
      </w:r>
      <w:r>
        <w:rPr>
          <w:color w:val="231F20"/>
          <w:spacing w:val="-50"/>
        </w:rPr>
        <w:t> </w:t>
      </w:r>
      <w:r>
        <w:rPr>
          <w:color w:val="231F20"/>
        </w:rPr>
        <w:t>41020,</w:t>
      </w:r>
      <w:r>
        <w:rPr>
          <w:color w:val="231F20"/>
          <w:spacing w:val="1"/>
        </w:rPr>
        <w:t> </w:t>
      </w:r>
      <w:r>
        <w:rPr>
          <w:color w:val="231F20"/>
        </w:rPr>
        <w:t>Sevilla</w:t>
      </w:r>
    </w:p>
    <w:p>
      <w:pPr>
        <w:spacing w:after="0" w:line="261" w:lineRule="auto"/>
        <w:sectPr>
          <w:pgSz w:w="11910" w:h="16840"/>
          <w:pgMar w:top="980" w:bottom="280" w:left="40" w:right="40"/>
        </w:sectPr>
      </w:pPr>
    </w:p>
    <w:p>
      <w:pPr>
        <w:pStyle w:val="BodyText"/>
        <w:spacing w:before="8"/>
        <w:ind w:left="1617"/>
      </w:pPr>
      <w:r>
        <w:rPr>
          <w:color w:val="231F20"/>
        </w:rPr>
        <w:t>N.º</w:t>
      </w:r>
      <w:r>
        <w:rPr>
          <w:color w:val="231F20"/>
          <w:spacing w:val="8"/>
        </w:rPr>
        <w:t> </w:t>
      </w:r>
      <w:r>
        <w:rPr>
          <w:color w:val="231F20"/>
        </w:rPr>
        <w:t>R.O.A.C.</w:t>
      </w:r>
      <w:r>
        <w:rPr>
          <w:color w:val="231F20"/>
          <w:spacing w:val="7"/>
        </w:rPr>
        <w:t> </w:t>
      </w:r>
      <w:r>
        <w:rPr>
          <w:color w:val="231F20"/>
        </w:rPr>
        <w:t>S</w:t>
      </w:r>
      <w:r>
        <w:rPr>
          <w:color w:val="231F20"/>
          <w:spacing w:val="6"/>
        </w:rPr>
        <w:t> </w:t>
      </w:r>
      <w:r>
        <w:rPr>
          <w:color w:val="231F20"/>
        </w:rPr>
        <w:t>2114</w:t>
      </w:r>
    </w:p>
    <w:p>
      <w:pPr>
        <w:pStyle w:val="Heading1"/>
        <w:spacing w:line="310" w:lineRule="exact" w:before="126"/>
        <w:ind w:left="804"/>
      </w:pPr>
      <w:r>
        <w:rPr/>
        <w:br w:type="column"/>
      </w:r>
      <w:r>
        <w:rPr>
          <w:color w:val="231F20"/>
          <w:w w:val="95"/>
        </w:rPr>
        <w:t>28931457X</w:t>
      </w:r>
    </w:p>
    <w:p>
      <w:pPr>
        <w:spacing w:line="203" w:lineRule="exact" w:before="0"/>
        <w:ind w:left="356" w:right="0" w:firstLine="0"/>
        <w:jc w:val="left"/>
        <w:rPr>
          <w:rFonts w:ascii="Trebuchet MS"/>
          <w:sz w:val="19"/>
        </w:rPr>
      </w:pPr>
      <w:r>
        <w:rPr/>
        <w:br w:type="column"/>
      </w:r>
      <w:r>
        <w:rPr>
          <w:rFonts w:ascii="Trebuchet MS"/>
          <w:color w:val="231F20"/>
          <w:sz w:val="19"/>
        </w:rPr>
        <w:t>Firmado</w:t>
      </w:r>
    </w:p>
    <w:p>
      <w:pPr>
        <w:spacing w:before="7"/>
        <w:ind w:left="356" w:right="0" w:firstLine="0"/>
        <w:jc w:val="left"/>
        <w:rPr>
          <w:rFonts w:ascii="Trebuchet MS"/>
          <w:sz w:val="19"/>
        </w:rPr>
      </w:pPr>
      <w:r>
        <w:rPr/>
        <w:pict>
          <v:shape style="position:absolute;margin-left:274.143005pt;margin-top:-10.322378pt;width:81.1pt;height:80.55pt;mso-position-horizontal-relative:page;mso-position-vertical-relative:paragraph;z-index:-15863808" coordorigin="5483,-206" coordsize="1622,1611" path="m5775,1063l5675,1125,5599,1186,5544,1244,5508,1297,5489,1342,5483,1377,5493,1398,5503,1404,5611,1404,5618,1400,5514,1400,5519,1364,5542,1314,5582,1255,5635,1191,5700,1126,5775,1063xm6176,-206l6144,-185,6127,-135,6121,-78,6120,-38,6121,-2,6125,38,6130,79,6137,122,6145,165,6154,210,6165,255,6176,301,6173,324,6161,362,6144,414,6120,476,6090,547,6056,626,6018,710,5977,797,5933,884,5886,972,5838,1056,5789,1135,5740,1208,5692,1272,5644,1325,5598,1366,5555,1391,5514,1400,5618,1400,5622,1398,5662,1368,5707,1324,5757,1266,5811,1193,5870,1103,5934,997,5949,992,5934,992,5998,878,6051,778,6094,690,6129,613,6156,546,6177,488,6194,437,6206,391,6264,391,6256,374,6228,296,6239,219,6240,211,6206,211,6187,139,6174,69,6167,3,6165,-56,6165,-81,6169,-123,6179,-167,6200,-197,6240,-197,6219,-205,6176,-206xm7063,989l7048,992,7035,1000,7027,1013,7024,1029,7027,1044,7035,1056,7048,1064,7063,1067,7080,1064,7089,1058,7063,1058,7051,1056,7041,1050,7034,1040,7032,1029,7034,1016,7041,1006,7051,1000,7063,997,7089,997,7080,992,7063,989xm7089,997l7063,997,7076,1000,7086,1006,7092,1016,7095,1029,7092,1040,7086,1050,7076,1056,7063,1058,7089,1058,7093,1056,7101,1044,7104,1029,7101,1013,7093,1000,7089,997xm7075,1002l7048,1002,7048,1050,7057,1050,7057,1032,7078,1032,7076,1030,7071,1029,7081,1025,7057,1025,7057,1012,7080,1012,7080,1009,7075,1002xm7078,1032l7066,1032,7070,1037,7071,1042,7073,1050,7081,1050,7080,1042,7080,1035,7078,1032xm7080,1012l7068,1012,7071,1014,7071,1024,7066,1025,7081,1025,7081,1019,7080,1012xm6264,391l6206,391,6256,501,6308,591,6362,662,6414,718,6463,761,6507,792,6545,816,6472,829,6396,845,6319,864,6242,884,6164,907,6086,933,6009,962,5934,992,5949,992,6000,975,6070,955,6144,936,6219,919,6296,903,6374,889,6452,876,6529,866,6606,857,6730,857,6703,845,6774,842,6859,840,7070,840,7028,817,6966,804,6631,804,6592,782,6554,759,6517,734,6482,708,6426,655,6375,593,6330,525,6290,451,6264,391xm6730,857l6606,857,6692,897,6779,930,6862,954,6938,969,7002,974,7036,972,7062,965,7079,953,7082,948,7037,948,6971,940,6890,920,6799,887,6730,857xm7088,936l7078,940,7066,944,7052,947,7037,948,7082,948,7088,936xm7070,840l6859,840,6945,844,7022,856,7076,880,7095,918,7100,907,7104,902,7104,890,7084,848,7070,840xm6829,793l6784,794,6736,797,6631,804,6966,804,6941,799,6829,793xm6256,-71l6247,-22,6236,40,6223,118,6206,211,6240,211,6246,146,6250,74,6253,-2,6256,-71xm6240,-197l6200,-197,6217,-185,6234,-167,6248,-140,6256,-101,6262,-162,6248,-193,6240,-197xe" filled="true" fillcolor="#fcd9d9" stroked="false">
            <v:path arrowok="t"/>
            <v:fill type="solid"/>
            <w10:wrap type="none"/>
          </v:shape>
        </w:pict>
      </w:r>
      <w:r>
        <w:rPr>
          <w:rFonts w:ascii="Trebuchet MS"/>
          <w:color w:val="231F20"/>
          <w:w w:val="90"/>
          <w:sz w:val="19"/>
        </w:rPr>
        <w:t>digitalmente</w:t>
      </w:r>
      <w:r>
        <w:rPr>
          <w:rFonts w:ascii="Trebuchet MS"/>
          <w:color w:val="231F20"/>
          <w:spacing w:val="13"/>
          <w:w w:val="90"/>
          <w:sz w:val="19"/>
        </w:rPr>
        <w:t> </w:t>
      </w:r>
      <w:r>
        <w:rPr>
          <w:rFonts w:ascii="Trebuchet MS"/>
          <w:color w:val="231F20"/>
          <w:w w:val="90"/>
          <w:sz w:val="19"/>
        </w:rPr>
        <w:t>por</w:t>
      </w:r>
    </w:p>
    <w:p>
      <w:pPr>
        <w:spacing w:after="0"/>
        <w:jc w:val="left"/>
        <w:rPr>
          <w:rFonts w:ascii="Trebuchet MS"/>
          <w:sz w:val="19"/>
        </w:rPr>
        <w:sectPr>
          <w:type w:val="continuous"/>
          <w:pgSz w:w="11910" w:h="16840"/>
          <w:pgMar w:top="980" w:bottom="280" w:left="40" w:right="40"/>
          <w:cols w:num="3" w:equalWidth="0">
            <w:col w:w="3767" w:space="40"/>
            <w:col w:w="2077" w:space="39"/>
            <w:col w:w="5907"/>
          </w:cols>
        </w:sectPr>
      </w:pPr>
    </w:p>
    <w:p>
      <w:pPr>
        <w:spacing w:line="226" w:lineRule="exact" w:before="2"/>
        <w:ind w:left="2591" w:right="2206" w:firstLine="0"/>
        <w:jc w:val="center"/>
        <w:rPr>
          <w:rFonts w:ascii="Trebuchet MS"/>
          <w:sz w:val="19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1096680</wp:posOffset>
            </wp:positionH>
            <wp:positionV relativeFrom="paragraph">
              <wp:posOffset>-109182</wp:posOffset>
            </wp:positionV>
            <wp:extent cx="1320700" cy="661085"/>
            <wp:effectExtent l="0" t="0" r="0" b="0"/>
            <wp:wrapNone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700" cy="66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231F20"/>
          <w:w w:val="95"/>
          <w:position w:val="-8"/>
          <w:sz w:val="27"/>
        </w:rPr>
        <w:t>JOSE</w:t>
      </w:r>
      <w:r>
        <w:rPr>
          <w:rFonts w:ascii="Trebuchet MS"/>
          <w:color w:val="231F20"/>
          <w:spacing w:val="3"/>
          <w:w w:val="95"/>
          <w:position w:val="-8"/>
          <w:sz w:val="27"/>
        </w:rPr>
        <w:t> </w:t>
      </w:r>
      <w:r>
        <w:rPr>
          <w:rFonts w:ascii="Trebuchet MS"/>
          <w:color w:val="231F20"/>
          <w:w w:val="95"/>
          <w:position w:val="-8"/>
          <w:sz w:val="27"/>
        </w:rPr>
        <w:t>MANUEL</w:t>
      </w:r>
      <w:r>
        <w:rPr>
          <w:rFonts w:ascii="Trebuchet MS"/>
          <w:color w:val="231F20"/>
          <w:spacing w:val="-4"/>
          <w:w w:val="95"/>
          <w:position w:val="-8"/>
          <w:sz w:val="27"/>
        </w:rPr>
        <w:t> </w:t>
      </w:r>
      <w:r>
        <w:rPr>
          <w:rFonts w:ascii="Trebuchet MS"/>
          <w:color w:val="231F20"/>
          <w:w w:val="95"/>
          <w:sz w:val="19"/>
        </w:rPr>
        <w:t>28931457X</w:t>
      </w:r>
      <w:r>
        <w:rPr>
          <w:rFonts w:ascii="Trebuchet MS"/>
          <w:color w:val="231F20"/>
          <w:spacing w:val="3"/>
          <w:w w:val="95"/>
          <w:sz w:val="19"/>
        </w:rPr>
        <w:t> </w:t>
      </w:r>
      <w:r>
        <w:rPr>
          <w:rFonts w:ascii="Trebuchet MS"/>
          <w:color w:val="231F20"/>
          <w:w w:val="95"/>
          <w:sz w:val="19"/>
        </w:rPr>
        <w:t>JOSE</w:t>
      </w:r>
    </w:p>
    <w:p>
      <w:pPr>
        <w:spacing w:after="0" w:line="226" w:lineRule="exact"/>
        <w:jc w:val="center"/>
        <w:rPr>
          <w:rFonts w:ascii="Trebuchet MS"/>
          <w:sz w:val="19"/>
        </w:rPr>
        <w:sectPr>
          <w:type w:val="continuous"/>
          <w:pgSz w:w="11910" w:h="16840"/>
          <w:pgMar w:top="980" w:bottom="280" w:left="40" w:right="40"/>
        </w:sect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1"/>
        <w:rPr>
          <w:rFonts w:ascii="Trebuchet MS"/>
          <w:sz w:val="31"/>
        </w:rPr>
      </w:pPr>
    </w:p>
    <w:p>
      <w:pPr>
        <w:pStyle w:val="BodyText"/>
        <w:spacing w:line="242" w:lineRule="auto"/>
        <w:ind w:left="1617" w:right="440"/>
      </w:pPr>
      <w:r>
        <w:rPr>
          <w:color w:val="231F20"/>
        </w:rPr>
        <w:t>Sevilla,</w:t>
      </w:r>
      <w:r>
        <w:rPr>
          <w:color w:val="231F20"/>
          <w:spacing w:val="4"/>
        </w:rPr>
        <w:t> </w:t>
      </w:r>
      <w:r>
        <w:rPr>
          <w:color w:val="231F20"/>
        </w:rPr>
        <w:t>30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junio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2022</w:t>
      </w:r>
      <w:r>
        <w:rPr>
          <w:color w:val="231F20"/>
          <w:spacing w:val="1"/>
        </w:rPr>
        <w:t> </w:t>
      </w:r>
      <w:r>
        <w:rPr>
          <w:color w:val="231F20"/>
        </w:rPr>
        <w:t>José</w:t>
      </w:r>
      <w:r>
        <w:rPr>
          <w:color w:val="231F20"/>
          <w:spacing w:val="10"/>
        </w:rPr>
        <w:t> </w:t>
      </w:r>
      <w:r>
        <w:rPr>
          <w:color w:val="231F20"/>
        </w:rPr>
        <w:t>Manuel</w:t>
      </w:r>
      <w:r>
        <w:rPr>
          <w:color w:val="231F20"/>
          <w:spacing w:val="12"/>
        </w:rPr>
        <w:t> </w:t>
      </w:r>
      <w:r>
        <w:rPr>
          <w:color w:val="231F20"/>
        </w:rPr>
        <w:t>Vaquero</w:t>
      </w:r>
      <w:r>
        <w:rPr>
          <w:color w:val="231F20"/>
          <w:spacing w:val="12"/>
        </w:rPr>
        <w:t> </w:t>
      </w:r>
      <w:r>
        <w:rPr>
          <w:color w:val="231F20"/>
        </w:rPr>
        <w:t>Gómez</w:t>
      </w:r>
    </w:p>
    <w:p>
      <w:pPr>
        <w:pStyle w:val="BodyText"/>
        <w:spacing w:before="4"/>
        <w:ind w:left="1617"/>
      </w:pPr>
      <w:r>
        <w:rPr>
          <w:color w:val="231F20"/>
        </w:rPr>
        <w:t>Socio</w:t>
      </w:r>
      <w:r>
        <w:rPr>
          <w:color w:val="231F20"/>
          <w:spacing w:val="6"/>
        </w:rPr>
        <w:t> </w:t>
      </w:r>
      <w:r>
        <w:rPr>
          <w:color w:val="231F20"/>
        </w:rPr>
        <w:t>auditor,</w:t>
      </w:r>
      <w:r>
        <w:rPr>
          <w:color w:val="231F20"/>
          <w:spacing w:val="13"/>
        </w:rPr>
        <w:t> </w:t>
      </w:r>
      <w:r>
        <w:rPr>
          <w:color w:val="231F20"/>
        </w:rPr>
        <w:t>R.O.A.C.</w:t>
      </w:r>
      <w:r>
        <w:rPr>
          <w:color w:val="231F20"/>
          <w:spacing w:val="14"/>
        </w:rPr>
        <w:t> </w:t>
      </w:r>
      <w:r>
        <w:rPr>
          <w:color w:val="231F20"/>
        </w:rPr>
        <w:t>N.º</w:t>
      </w:r>
      <w:r>
        <w:rPr>
          <w:color w:val="231F20"/>
          <w:spacing w:val="15"/>
        </w:rPr>
        <w:t> </w:t>
      </w:r>
      <w:r>
        <w:rPr>
          <w:color w:val="231F20"/>
        </w:rPr>
        <w:t>23298</w:t>
      </w:r>
    </w:p>
    <w:p>
      <w:pPr>
        <w:pStyle w:val="Heading1"/>
        <w:spacing w:line="249" w:lineRule="auto"/>
      </w:pPr>
      <w:r>
        <w:rPr/>
        <w:br w:type="column"/>
      </w:r>
      <w:r>
        <w:rPr>
          <w:color w:val="231F20"/>
          <w:w w:val="90"/>
        </w:rPr>
        <w:t>VAQUERO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(R:</w:t>
      </w:r>
      <w:r>
        <w:rPr>
          <w:color w:val="231F20"/>
          <w:spacing w:val="-70"/>
          <w:w w:val="90"/>
        </w:rPr>
        <w:t> </w:t>
      </w:r>
      <w:r>
        <w:rPr>
          <w:color w:val="231F20"/>
        </w:rPr>
        <w:t>B91857870)</w:t>
      </w:r>
    </w:p>
    <w:p>
      <w:pPr>
        <w:spacing w:line="247" w:lineRule="auto" w:before="3"/>
        <w:ind w:left="141" w:right="3988" w:firstLine="0"/>
        <w:jc w:val="left"/>
        <w:rPr>
          <w:rFonts w:ascii="Trebuchet MS"/>
          <w:sz w:val="19"/>
        </w:rPr>
      </w:pPr>
      <w:r>
        <w:rPr/>
        <w:br w:type="column"/>
      </w:r>
      <w:r>
        <w:rPr>
          <w:rFonts w:ascii="Trebuchet MS"/>
          <w:color w:val="231F20"/>
          <w:spacing w:val="-2"/>
          <w:sz w:val="19"/>
        </w:rPr>
        <w:t>MANUEL </w:t>
      </w:r>
      <w:r>
        <w:rPr>
          <w:rFonts w:ascii="Trebuchet MS"/>
          <w:color w:val="231F20"/>
          <w:spacing w:val="-1"/>
          <w:sz w:val="19"/>
        </w:rPr>
        <w:t>VAQUERO</w:t>
      </w:r>
      <w:r>
        <w:rPr>
          <w:rFonts w:ascii="Trebuchet MS"/>
          <w:color w:val="231F20"/>
          <w:spacing w:val="-55"/>
          <w:sz w:val="19"/>
        </w:rPr>
        <w:t> </w:t>
      </w:r>
      <w:r>
        <w:rPr>
          <w:rFonts w:ascii="Trebuchet MS"/>
          <w:color w:val="231F20"/>
          <w:w w:val="90"/>
          <w:sz w:val="19"/>
        </w:rPr>
        <w:t>(R: B91857870)</w:t>
      </w:r>
      <w:r>
        <w:rPr>
          <w:rFonts w:ascii="Trebuchet MS"/>
          <w:color w:val="231F20"/>
          <w:spacing w:val="1"/>
          <w:w w:val="90"/>
          <w:sz w:val="19"/>
        </w:rPr>
        <w:t> </w:t>
      </w:r>
      <w:r>
        <w:rPr>
          <w:rFonts w:ascii="Trebuchet MS"/>
          <w:color w:val="231F20"/>
          <w:w w:val="90"/>
          <w:sz w:val="19"/>
        </w:rPr>
        <w:t>Fecha:</w:t>
      </w:r>
      <w:r>
        <w:rPr>
          <w:rFonts w:ascii="Trebuchet MS"/>
          <w:color w:val="231F20"/>
          <w:spacing w:val="-9"/>
          <w:w w:val="90"/>
          <w:sz w:val="19"/>
        </w:rPr>
        <w:t> </w:t>
      </w:r>
      <w:r>
        <w:rPr>
          <w:rFonts w:ascii="Trebuchet MS"/>
          <w:color w:val="231F20"/>
          <w:w w:val="90"/>
          <w:sz w:val="19"/>
        </w:rPr>
        <w:t>2022.06.30</w:t>
      </w:r>
    </w:p>
    <w:p>
      <w:pPr>
        <w:spacing w:before="3"/>
        <w:ind w:left="141" w:right="0" w:firstLine="0"/>
        <w:jc w:val="left"/>
        <w:rPr>
          <w:rFonts w:ascii="Trebuchet MS"/>
          <w:sz w:val="19"/>
        </w:rPr>
      </w:pPr>
      <w:r>
        <w:rPr>
          <w:rFonts w:ascii="Trebuchet MS"/>
          <w:color w:val="231F20"/>
          <w:w w:val="95"/>
          <w:sz w:val="19"/>
        </w:rPr>
        <w:t>12:58:48</w:t>
      </w:r>
      <w:r>
        <w:rPr>
          <w:rFonts w:ascii="Trebuchet MS"/>
          <w:color w:val="231F20"/>
          <w:spacing w:val="-12"/>
          <w:w w:val="95"/>
          <w:sz w:val="19"/>
        </w:rPr>
        <w:t> </w:t>
      </w:r>
      <w:r>
        <w:rPr>
          <w:rFonts w:ascii="Trebuchet MS"/>
          <w:color w:val="231F20"/>
          <w:w w:val="95"/>
          <w:sz w:val="19"/>
        </w:rPr>
        <w:t>+02'00'</w:t>
      </w:r>
    </w:p>
    <w:p>
      <w:pPr>
        <w:spacing w:after="0"/>
        <w:jc w:val="left"/>
        <w:rPr>
          <w:rFonts w:ascii="Trebuchet MS"/>
          <w:sz w:val="19"/>
        </w:rPr>
        <w:sectPr>
          <w:type w:val="continuous"/>
          <w:pgSz w:w="11910" w:h="16840"/>
          <w:pgMar w:top="980" w:bottom="280" w:left="40" w:right="40"/>
          <w:cols w:num="3" w:equalWidth="0">
            <w:col w:w="4602" w:space="40"/>
            <w:col w:w="1458" w:space="39"/>
            <w:col w:w="5691"/>
          </w:cols>
        </w:sectPr>
      </w:pPr>
    </w:p>
    <w:p>
      <w:pPr>
        <w:pStyle w:val="BodyText"/>
        <w:spacing w:before="5"/>
        <w:rPr>
          <w:rFonts w:ascii="Trebuchet MS"/>
          <w:sz w:val="23"/>
        </w:rPr>
      </w:pPr>
    </w:p>
    <w:p>
      <w:pPr>
        <w:spacing w:before="75"/>
        <w:ind w:left="2591" w:right="2584" w:firstLine="0"/>
        <w:jc w:val="center"/>
        <w:rPr>
          <w:rFonts w:ascii="Calibri" w:hAnsi="Calibri"/>
          <w:sz w:val="15"/>
        </w:rPr>
      </w:pPr>
      <w:r>
        <w:rPr>
          <w:rFonts w:ascii="Calibri" w:hAnsi="Calibri"/>
          <w:color w:val="BFC1C3"/>
          <w:spacing w:val="-1"/>
          <w:w w:val="105"/>
          <w:sz w:val="15"/>
        </w:rPr>
        <w:t>Netadia</w:t>
      </w:r>
      <w:r>
        <w:rPr>
          <w:rFonts w:ascii="Calibri" w:hAnsi="Calibri"/>
          <w:color w:val="BFC1C3"/>
          <w:spacing w:val="-5"/>
          <w:w w:val="105"/>
          <w:sz w:val="15"/>
        </w:rPr>
        <w:t> </w:t>
      </w:r>
      <w:r>
        <w:rPr>
          <w:rFonts w:ascii="Calibri" w:hAnsi="Calibri"/>
          <w:color w:val="BFC1C3"/>
          <w:spacing w:val="-1"/>
          <w:w w:val="105"/>
          <w:sz w:val="15"/>
        </w:rPr>
        <w:t>Europa,</w:t>
      </w:r>
      <w:r>
        <w:rPr>
          <w:rFonts w:ascii="Calibri" w:hAnsi="Calibri"/>
          <w:color w:val="BFC1C3"/>
          <w:spacing w:val="-5"/>
          <w:w w:val="105"/>
          <w:sz w:val="15"/>
        </w:rPr>
        <w:t> </w:t>
      </w:r>
      <w:r>
        <w:rPr>
          <w:rFonts w:ascii="Calibri" w:hAnsi="Calibri"/>
          <w:color w:val="BFC1C3"/>
          <w:spacing w:val="-1"/>
          <w:w w:val="105"/>
          <w:sz w:val="15"/>
        </w:rPr>
        <w:t>S.LP.</w:t>
      </w:r>
      <w:r>
        <w:rPr>
          <w:rFonts w:ascii="Calibri" w:hAnsi="Calibri"/>
          <w:color w:val="BFC1C3"/>
          <w:spacing w:val="-5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–</w:t>
      </w:r>
      <w:r>
        <w:rPr>
          <w:rFonts w:ascii="Calibri" w:hAnsi="Calibri"/>
          <w:color w:val="BFC1C3"/>
          <w:spacing w:val="-6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C.I.F.</w:t>
      </w:r>
      <w:r>
        <w:rPr>
          <w:rFonts w:ascii="Calibri" w:hAnsi="Calibri"/>
          <w:color w:val="BFC1C3"/>
          <w:spacing w:val="-7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B91857870</w:t>
      </w:r>
      <w:r>
        <w:rPr>
          <w:rFonts w:ascii="Calibri" w:hAnsi="Calibri"/>
          <w:color w:val="BFC1C3"/>
          <w:spacing w:val="-4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-</w:t>
      </w:r>
      <w:r>
        <w:rPr>
          <w:rFonts w:ascii="Calibri" w:hAnsi="Calibri"/>
          <w:color w:val="BFC1C3"/>
          <w:spacing w:val="-5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Inscrita</w:t>
      </w:r>
      <w:r>
        <w:rPr>
          <w:rFonts w:ascii="Calibri" w:hAnsi="Calibri"/>
          <w:color w:val="BFC1C3"/>
          <w:spacing w:val="-7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en</w:t>
      </w:r>
      <w:r>
        <w:rPr>
          <w:rFonts w:ascii="Calibri" w:hAnsi="Calibri"/>
          <w:color w:val="BFC1C3"/>
          <w:spacing w:val="-8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RM</w:t>
      </w:r>
      <w:r>
        <w:rPr>
          <w:rFonts w:ascii="Calibri" w:hAnsi="Calibri"/>
          <w:color w:val="BFC1C3"/>
          <w:spacing w:val="-7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de</w:t>
      </w:r>
      <w:r>
        <w:rPr>
          <w:rFonts w:ascii="Calibri" w:hAnsi="Calibri"/>
          <w:color w:val="BFC1C3"/>
          <w:spacing w:val="-6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Sevilla,</w:t>
      </w:r>
      <w:r>
        <w:rPr>
          <w:rFonts w:ascii="Calibri" w:hAnsi="Calibri"/>
          <w:color w:val="BFC1C3"/>
          <w:spacing w:val="-4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Tomo</w:t>
      </w:r>
      <w:r>
        <w:rPr>
          <w:rFonts w:ascii="Calibri" w:hAnsi="Calibri"/>
          <w:color w:val="BFC1C3"/>
          <w:spacing w:val="-9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5420,</w:t>
      </w:r>
      <w:r>
        <w:rPr>
          <w:rFonts w:ascii="Calibri" w:hAnsi="Calibri"/>
          <w:color w:val="BFC1C3"/>
          <w:spacing w:val="-6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folio</w:t>
      </w:r>
      <w:r>
        <w:rPr>
          <w:rFonts w:ascii="Calibri" w:hAnsi="Calibri"/>
          <w:color w:val="BFC1C3"/>
          <w:spacing w:val="-5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131.</w:t>
      </w:r>
      <w:r>
        <w:rPr>
          <w:rFonts w:ascii="Calibri" w:hAnsi="Calibri"/>
          <w:color w:val="BFC1C3"/>
          <w:spacing w:val="-6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hoja</w:t>
      </w:r>
      <w:r>
        <w:rPr>
          <w:rFonts w:ascii="Calibri" w:hAnsi="Calibri"/>
          <w:color w:val="BFC1C3"/>
          <w:spacing w:val="-6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SE-90843.</w:t>
      </w:r>
    </w:p>
    <w:p>
      <w:pPr>
        <w:spacing w:before="23"/>
        <w:ind w:left="2591" w:right="2584" w:firstLine="0"/>
        <w:jc w:val="center"/>
        <w:rPr>
          <w:rFonts w:ascii="Calibri" w:hAnsi="Calibri"/>
          <w:sz w:val="15"/>
        </w:rPr>
      </w:pPr>
      <w:r>
        <w:rPr>
          <w:rFonts w:ascii="Calibri" w:hAnsi="Calibri"/>
          <w:color w:val="BFC1C3"/>
          <w:w w:val="105"/>
          <w:sz w:val="15"/>
        </w:rPr>
        <w:t>Inscrita</w:t>
      </w:r>
      <w:r>
        <w:rPr>
          <w:rFonts w:ascii="Calibri" w:hAnsi="Calibri"/>
          <w:color w:val="BFC1C3"/>
          <w:spacing w:val="-7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en</w:t>
      </w:r>
      <w:r>
        <w:rPr>
          <w:rFonts w:ascii="Calibri" w:hAnsi="Calibri"/>
          <w:color w:val="BFC1C3"/>
          <w:spacing w:val="-5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el</w:t>
      </w:r>
      <w:r>
        <w:rPr>
          <w:rFonts w:ascii="Calibri" w:hAnsi="Calibri"/>
          <w:color w:val="BFC1C3"/>
          <w:spacing w:val="-7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Registro</w:t>
      </w:r>
      <w:r>
        <w:rPr>
          <w:rFonts w:ascii="Calibri" w:hAnsi="Calibri"/>
          <w:color w:val="BFC1C3"/>
          <w:spacing w:val="-6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Oficial</w:t>
      </w:r>
      <w:r>
        <w:rPr>
          <w:rFonts w:ascii="Calibri" w:hAnsi="Calibri"/>
          <w:color w:val="BFC1C3"/>
          <w:spacing w:val="-5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de</w:t>
      </w:r>
      <w:r>
        <w:rPr>
          <w:rFonts w:ascii="Calibri" w:hAnsi="Calibri"/>
          <w:color w:val="BFC1C3"/>
          <w:spacing w:val="-7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Auditores</w:t>
      </w:r>
      <w:r>
        <w:rPr>
          <w:rFonts w:ascii="Calibri" w:hAnsi="Calibri"/>
          <w:color w:val="BFC1C3"/>
          <w:spacing w:val="-7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de</w:t>
      </w:r>
      <w:r>
        <w:rPr>
          <w:rFonts w:ascii="Calibri" w:hAnsi="Calibri"/>
          <w:color w:val="BFC1C3"/>
          <w:spacing w:val="-6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Cuentas</w:t>
      </w:r>
      <w:r>
        <w:rPr>
          <w:rFonts w:ascii="Calibri" w:hAnsi="Calibri"/>
          <w:color w:val="BFC1C3"/>
          <w:spacing w:val="-8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con</w:t>
      </w:r>
      <w:r>
        <w:rPr>
          <w:rFonts w:ascii="Calibri" w:hAnsi="Calibri"/>
          <w:color w:val="BFC1C3"/>
          <w:spacing w:val="-8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número</w:t>
      </w:r>
      <w:r>
        <w:rPr>
          <w:rFonts w:ascii="Calibri" w:hAnsi="Calibri"/>
          <w:color w:val="BFC1C3"/>
          <w:spacing w:val="-7"/>
          <w:w w:val="105"/>
          <w:sz w:val="15"/>
        </w:rPr>
        <w:t> </w:t>
      </w:r>
      <w:r>
        <w:rPr>
          <w:rFonts w:ascii="Calibri" w:hAnsi="Calibri"/>
          <w:color w:val="BFC1C3"/>
          <w:w w:val="105"/>
          <w:sz w:val="15"/>
        </w:rPr>
        <w:t>S-2114.</w:t>
      </w:r>
    </w:p>
    <w:p>
      <w:pPr>
        <w:spacing w:before="17"/>
        <w:ind w:left="0" w:right="1608" w:firstLine="0"/>
        <w:jc w:val="right"/>
        <w:rPr>
          <w:sz w:val="19"/>
        </w:rPr>
      </w:pPr>
      <w:r>
        <w:rPr>
          <w:color w:val="231F20"/>
          <w:w w:val="101"/>
          <w:sz w:val="19"/>
        </w:rPr>
        <w:t>3</w:t>
      </w:r>
    </w:p>
    <w:p>
      <w:pPr>
        <w:spacing w:after="0"/>
        <w:jc w:val="right"/>
        <w:rPr>
          <w:sz w:val="19"/>
        </w:rPr>
        <w:sectPr>
          <w:type w:val="continuous"/>
          <w:pgSz w:w="11910" w:h="16840"/>
          <w:pgMar w:top="980" w:bottom="280" w:left="40" w:right="40"/>
        </w:sectPr>
      </w:pPr>
    </w:p>
    <w:p>
      <w:pPr>
        <w:pStyle w:val="BodyText"/>
        <w:ind w:left="267"/>
        <w:rPr>
          <w:sz w:val="20"/>
        </w:rPr>
      </w:pPr>
      <w:r>
        <w:rPr>
          <w:sz w:val="20"/>
        </w:rPr>
        <w:drawing>
          <wp:inline distT="0" distB="0" distL="0" distR="0">
            <wp:extent cx="6732373" cy="9607200"/>
            <wp:effectExtent l="0" t="0" r="0" b="0"/>
            <wp:docPr id="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373" cy="96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280" w:left="40" w:right="40"/>
        </w:sectPr>
      </w:pPr>
    </w:p>
    <w:p>
      <w:pPr>
        <w:pStyle w:val="BodyText"/>
        <w:ind w:left="267"/>
        <w:rPr>
          <w:sz w:val="20"/>
        </w:rPr>
      </w:pPr>
      <w:r>
        <w:rPr>
          <w:sz w:val="20"/>
        </w:rPr>
        <w:drawing>
          <wp:inline distT="0" distB="0" distL="0" distR="0">
            <wp:extent cx="6678491" cy="9175146"/>
            <wp:effectExtent l="0" t="0" r="0" b="0"/>
            <wp:docPr id="1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8491" cy="917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280" w:left="40" w:right="40"/>
        </w:sectPr>
      </w:pPr>
    </w:p>
    <w:p>
      <w:pPr>
        <w:pStyle w:val="BodyText"/>
        <w:ind w:left="267"/>
        <w:rPr>
          <w:sz w:val="20"/>
        </w:rPr>
      </w:pPr>
      <w:r>
        <w:rPr>
          <w:sz w:val="20"/>
        </w:rPr>
        <w:drawing>
          <wp:inline distT="0" distB="0" distL="0" distR="0">
            <wp:extent cx="7154932" cy="9793224"/>
            <wp:effectExtent l="0" t="0" r="0" b="0"/>
            <wp:docPr id="1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932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0" w:left="40" w:right="40"/>
        </w:sectPr>
      </w:pPr>
    </w:p>
    <w:p>
      <w:pPr>
        <w:pStyle w:val="BodyText"/>
        <w:ind w:left="267"/>
        <w:rPr>
          <w:sz w:val="20"/>
        </w:rPr>
      </w:pPr>
      <w:r>
        <w:rPr>
          <w:sz w:val="20"/>
        </w:rPr>
        <w:drawing>
          <wp:inline distT="0" distB="0" distL="0" distR="0">
            <wp:extent cx="6678491" cy="9175146"/>
            <wp:effectExtent l="0" t="0" r="0" b="0"/>
            <wp:docPr id="1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8491" cy="917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280" w:left="40" w:right="40"/>
        </w:sectPr>
      </w:pPr>
    </w:p>
    <w:p>
      <w:pPr>
        <w:pStyle w:val="BodyText"/>
        <w:ind w:left="267"/>
        <w:rPr>
          <w:sz w:val="20"/>
        </w:rPr>
      </w:pPr>
      <w:r>
        <w:rPr>
          <w:sz w:val="20"/>
        </w:rPr>
        <w:drawing>
          <wp:inline distT="0" distB="0" distL="0" distR="0">
            <wp:extent cx="7158702" cy="9799224"/>
            <wp:effectExtent l="0" t="0" r="0" b="0"/>
            <wp:docPr id="1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8702" cy="979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0" w:left="40" w:right="40"/>
        </w:sectPr>
      </w:pPr>
    </w:p>
    <w:p>
      <w:pPr>
        <w:pStyle w:val="BodyText"/>
        <w:ind w:left="267"/>
        <w:rPr>
          <w:sz w:val="20"/>
        </w:rPr>
      </w:pPr>
      <w:r>
        <w:rPr>
          <w:sz w:val="20"/>
        </w:rPr>
        <w:drawing>
          <wp:inline distT="0" distB="0" distL="0" distR="0">
            <wp:extent cx="6728757" cy="9199149"/>
            <wp:effectExtent l="0" t="0" r="0" b="0"/>
            <wp:docPr id="1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757" cy="919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280" w:left="40" w:right="40"/>
        </w:sectPr>
      </w:pPr>
    </w:p>
    <w:p>
      <w:pPr>
        <w:pStyle w:val="BodyText"/>
        <w:ind w:left="267"/>
        <w:rPr>
          <w:sz w:val="20"/>
        </w:rPr>
      </w:pPr>
      <w:r>
        <w:rPr>
          <w:sz w:val="20"/>
        </w:rPr>
        <w:drawing>
          <wp:inline distT="0" distB="0" distL="0" distR="0">
            <wp:extent cx="6728757" cy="9745218"/>
            <wp:effectExtent l="0" t="0" r="0" b="0"/>
            <wp:docPr id="2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757" cy="974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0" w:left="40" w:right="40"/>
        </w:sectPr>
      </w:pPr>
    </w:p>
    <w:p>
      <w:pPr>
        <w:pStyle w:val="BodyText"/>
        <w:ind w:left="267"/>
        <w:rPr>
          <w:sz w:val="20"/>
        </w:rPr>
      </w:pPr>
      <w:r>
        <w:rPr>
          <w:sz w:val="20"/>
        </w:rPr>
        <w:drawing>
          <wp:inline distT="0" distB="0" distL="0" distR="0">
            <wp:extent cx="6866814" cy="9793224"/>
            <wp:effectExtent l="0" t="0" r="0" b="0"/>
            <wp:docPr id="2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814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480" w:bottom="280" w:left="40" w:right="40"/>
        </w:sectPr>
      </w:pPr>
    </w:p>
    <w:p>
      <w:pPr>
        <w:pStyle w:val="BodyText"/>
        <w:ind w:left="267"/>
        <w:rPr>
          <w:sz w:val="20"/>
        </w:rPr>
      </w:pPr>
      <w:r>
        <w:rPr>
          <w:sz w:val="20"/>
        </w:rPr>
        <w:drawing>
          <wp:inline distT="0" distB="0" distL="0" distR="0">
            <wp:extent cx="6724035" cy="9727215"/>
            <wp:effectExtent l="0" t="0" r="0" b="0"/>
            <wp:docPr id="2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035" cy="972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80" w:bottom="280" w:left="40" w:right="40"/>
        </w:sectPr>
      </w:pPr>
    </w:p>
    <w:p>
      <w:pPr>
        <w:pStyle w:val="BodyText"/>
        <w:ind w:left="267"/>
        <w:rPr>
          <w:sz w:val="20"/>
        </w:rPr>
      </w:pPr>
      <w:r>
        <w:rPr>
          <w:sz w:val="20"/>
        </w:rPr>
        <w:drawing>
          <wp:inline distT="0" distB="0" distL="0" distR="0">
            <wp:extent cx="7159195" cy="10075259"/>
            <wp:effectExtent l="0" t="0" r="0" b="0"/>
            <wp:docPr id="2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195" cy="1007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580" w:bottom="0" w:left="40" w:right="40"/>
        </w:sectPr>
      </w:pPr>
    </w:p>
    <w:p>
      <w:pPr>
        <w:pStyle w:val="BodyText"/>
        <w:ind w:left="267"/>
        <w:rPr>
          <w:sz w:val="20"/>
        </w:rPr>
      </w:pPr>
      <w:r>
        <w:rPr>
          <w:sz w:val="20"/>
        </w:rPr>
        <w:drawing>
          <wp:inline distT="0" distB="0" distL="0" distR="0">
            <wp:extent cx="6728757" cy="9187148"/>
            <wp:effectExtent l="0" t="0" r="0" b="0"/>
            <wp:docPr id="2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757" cy="918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280" w:left="40" w:right="40"/>
        </w:sectPr>
      </w:pPr>
    </w:p>
    <w:p>
      <w:pPr>
        <w:pStyle w:val="BodyText"/>
        <w:ind w:left="267"/>
        <w:rPr>
          <w:sz w:val="20"/>
        </w:rPr>
      </w:pPr>
      <w:r>
        <w:rPr>
          <w:sz w:val="20"/>
        </w:rPr>
        <w:drawing>
          <wp:inline distT="0" distB="0" distL="0" distR="0">
            <wp:extent cx="7154932" cy="9793224"/>
            <wp:effectExtent l="0" t="0" r="0" b="0"/>
            <wp:docPr id="3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932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0" w:left="40" w:right="40"/>
        </w:sectPr>
      </w:pPr>
    </w:p>
    <w:p>
      <w:pPr>
        <w:pStyle w:val="BodyText"/>
        <w:ind w:left="1092"/>
        <w:rPr>
          <w:sz w:val="20"/>
        </w:rPr>
      </w:pPr>
      <w:r>
        <w:rPr>
          <w:sz w:val="20"/>
        </w:rPr>
        <w:drawing>
          <wp:inline distT="0" distB="0" distL="0" distR="0">
            <wp:extent cx="6398622" cy="9265158"/>
            <wp:effectExtent l="0" t="0" r="0" b="0"/>
            <wp:docPr id="3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622" cy="926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280" w:left="40" w:right="40"/>
        </w:sectPr>
      </w:pPr>
    </w:p>
    <w:p>
      <w:pPr>
        <w:pStyle w:val="BodyText"/>
        <w:ind w:left="958"/>
        <w:rPr>
          <w:sz w:val="20"/>
        </w:rPr>
      </w:pPr>
      <w:r>
        <w:rPr>
          <w:sz w:val="20"/>
        </w:rPr>
        <w:drawing>
          <wp:inline distT="0" distB="0" distL="0" distR="0">
            <wp:extent cx="6722755" cy="9793224"/>
            <wp:effectExtent l="0" t="0" r="0" b="0"/>
            <wp:docPr id="3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2755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0" w:left="40" w:right="40"/>
        </w:sectPr>
      </w:pPr>
    </w:p>
    <w:p>
      <w:pPr>
        <w:pStyle w:val="BodyText"/>
        <w:ind w:left="1034"/>
        <w:rPr>
          <w:sz w:val="20"/>
        </w:rPr>
      </w:pPr>
      <w:r>
        <w:rPr>
          <w:sz w:val="20"/>
        </w:rPr>
        <w:drawing>
          <wp:inline distT="0" distB="0" distL="0" distR="0">
            <wp:extent cx="6674735" cy="9793224"/>
            <wp:effectExtent l="0" t="0" r="0" b="0"/>
            <wp:docPr id="3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735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0" w:left="40" w:right="40"/>
        </w:sectPr>
      </w:pPr>
    </w:p>
    <w:p>
      <w:pPr>
        <w:pStyle w:val="BodyText"/>
        <w:ind w:left="651"/>
        <w:rPr>
          <w:sz w:val="20"/>
        </w:rPr>
      </w:pPr>
      <w:r>
        <w:rPr>
          <w:sz w:val="20"/>
        </w:rPr>
        <w:drawing>
          <wp:inline distT="0" distB="0" distL="0" distR="0">
            <wp:extent cx="6296580" cy="9265158"/>
            <wp:effectExtent l="0" t="0" r="0" b="0"/>
            <wp:docPr id="3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580" cy="926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280" w:left="40" w:right="40"/>
        </w:sectPr>
      </w:pPr>
    </w:p>
    <w:p>
      <w:pPr>
        <w:pStyle w:val="BodyText"/>
        <w:ind w:left="1034"/>
        <w:rPr>
          <w:sz w:val="20"/>
        </w:rPr>
      </w:pPr>
      <w:r>
        <w:rPr>
          <w:sz w:val="20"/>
        </w:rPr>
        <w:drawing>
          <wp:inline distT="0" distB="0" distL="0" distR="0">
            <wp:extent cx="6059855" cy="9271158"/>
            <wp:effectExtent l="0" t="0" r="0" b="0"/>
            <wp:docPr id="4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855" cy="927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280" w:left="40" w:right="40"/>
        </w:sectPr>
      </w:pPr>
    </w:p>
    <w:p>
      <w:pPr>
        <w:pStyle w:val="BodyText"/>
        <w:ind w:left="1034"/>
        <w:rPr>
          <w:sz w:val="20"/>
        </w:rPr>
      </w:pPr>
      <w:r>
        <w:rPr>
          <w:sz w:val="20"/>
        </w:rPr>
        <w:drawing>
          <wp:inline distT="0" distB="0" distL="0" distR="0">
            <wp:extent cx="6056482" cy="9265158"/>
            <wp:effectExtent l="0" t="0" r="0" b="0"/>
            <wp:docPr id="4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482" cy="926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280" w:left="40" w:right="40"/>
        </w:sectPr>
      </w:pPr>
    </w:p>
    <w:p>
      <w:pPr>
        <w:pStyle w:val="BodyText"/>
        <w:ind w:left="1034"/>
        <w:rPr>
          <w:sz w:val="20"/>
        </w:rPr>
      </w:pPr>
      <w:r>
        <w:rPr>
          <w:sz w:val="20"/>
        </w:rPr>
        <w:drawing>
          <wp:inline distT="0" distB="0" distL="0" distR="0">
            <wp:extent cx="6056482" cy="9265158"/>
            <wp:effectExtent l="0" t="0" r="0" b="0"/>
            <wp:docPr id="4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482" cy="926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280" w:left="40" w:right="40"/>
        </w:sectPr>
      </w:pPr>
    </w:p>
    <w:p>
      <w:pPr>
        <w:pStyle w:val="BodyText"/>
        <w:ind w:left="1034"/>
        <w:rPr>
          <w:sz w:val="20"/>
        </w:rPr>
      </w:pPr>
      <w:r>
        <w:rPr>
          <w:sz w:val="20"/>
        </w:rPr>
        <w:drawing>
          <wp:inline distT="0" distB="0" distL="0" distR="0">
            <wp:extent cx="6674735" cy="9793224"/>
            <wp:effectExtent l="0" t="0" r="0" b="0"/>
            <wp:docPr id="4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735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0" w:left="40" w:right="40"/>
        </w:sectPr>
      </w:pPr>
    </w:p>
    <w:p>
      <w:pPr>
        <w:pStyle w:val="BodyText"/>
        <w:ind w:left="1034"/>
        <w:rPr>
          <w:sz w:val="20"/>
        </w:rPr>
      </w:pPr>
      <w:r>
        <w:rPr>
          <w:sz w:val="20"/>
        </w:rPr>
        <w:drawing>
          <wp:inline distT="0" distB="0" distL="0" distR="0">
            <wp:extent cx="6056482" cy="9265158"/>
            <wp:effectExtent l="0" t="0" r="0" b="0"/>
            <wp:docPr id="4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482" cy="926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280" w:left="40" w:right="40"/>
        </w:sectPr>
      </w:pPr>
    </w:p>
    <w:p>
      <w:pPr>
        <w:pStyle w:val="BodyText"/>
        <w:ind w:left="1034"/>
        <w:rPr>
          <w:sz w:val="20"/>
        </w:rPr>
      </w:pPr>
      <w:r>
        <w:rPr>
          <w:sz w:val="20"/>
        </w:rPr>
        <w:drawing>
          <wp:inline distT="0" distB="0" distL="0" distR="0">
            <wp:extent cx="6578696" cy="9265158"/>
            <wp:effectExtent l="0" t="0" r="0" b="0"/>
            <wp:docPr id="51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96" cy="926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280" w:left="40" w:right="40"/>
        </w:sectPr>
      </w:pPr>
    </w:p>
    <w:p>
      <w:pPr>
        <w:pStyle w:val="BodyText"/>
        <w:ind w:left="1034"/>
        <w:rPr>
          <w:sz w:val="20"/>
        </w:rPr>
      </w:pPr>
      <w:r>
        <w:rPr>
          <w:sz w:val="20"/>
        </w:rPr>
        <w:drawing>
          <wp:inline distT="0" distB="0" distL="0" distR="0">
            <wp:extent cx="6626716" cy="9265158"/>
            <wp:effectExtent l="0" t="0" r="0" b="0"/>
            <wp:docPr id="53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716" cy="926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280" w:left="40" w:right="40"/>
        </w:sectPr>
      </w:pPr>
    </w:p>
    <w:p>
      <w:pPr>
        <w:pStyle w:val="BodyText"/>
        <w:ind w:left="113"/>
        <w:rPr>
          <w:sz w:val="20"/>
        </w:rPr>
      </w:pPr>
      <w:r>
        <w:rPr>
          <w:sz w:val="20"/>
        </w:rPr>
        <w:drawing>
          <wp:inline distT="0" distB="0" distL="0" distR="0">
            <wp:extent cx="6636412" cy="9271158"/>
            <wp:effectExtent l="0" t="0" r="0" b="0"/>
            <wp:docPr id="55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6412" cy="927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280" w:left="40" w:right="40"/>
        </w:sectPr>
      </w:pPr>
    </w:p>
    <w:p>
      <w:pPr>
        <w:pStyle w:val="BodyText"/>
        <w:ind w:left="1034"/>
        <w:rPr>
          <w:sz w:val="20"/>
        </w:rPr>
      </w:pPr>
      <w:r>
        <w:rPr>
          <w:sz w:val="20"/>
        </w:rPr>
        <w:drawing>
          <wp:inline distT="0" distB="0" distL="0" distR="0">
            <wp:extent cx="6674735" cy="9793224"/>
            <wp:effectExtent l="0" t="0" r="0" b="0"/>
            <wp:docPr id="57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735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020" w:bottom="0" w:left="4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2169" w:hanging="415"/>
      </w:pPr>
      <w:rPr>
        <w:rFonts w:hint="default" w:ascii="Verdana" w:hAnsi="Verdana" w:eastAsia="Verdana" w:cs="Verdana"/>
        <w:color w:val="231F20"/>
        <w:w w:val="86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26" w:hanging="41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92" w:hanging="41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59" w:hanging="41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25" w:hanging="41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92" w:hanging="41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58" w:hanging="41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25" w:hanging="41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91" w:hanging="415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1"/>
      <w:szCs w:val="21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15"/>
      <w:ind w:left="-30"/>
      <w:outlineLvl w:val="1"/>
    </w:pPr>
    <w:rPr>
      <w:rFonts w:ascii="Trebuchet MS" w:hAnsi="Trebuchet MS" w:eastAsia="Trebuchet MS" w:cs="Trebuchet MS"/>
      <w:sz w:val="27"/>
      <w:szCs w:val="27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169" w:right="1606" w:hanging="415"/>
      <w:jc w:val="both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userConta10</dc:creator>
  <dc:title>Informe AC y CCAA CFESB - 2021.pdf</dc:title>
  <dcterms:created xsi:type="dcterms:W3CDTF">2024-05-22T09:35:59Z</dcterms:created>
  <dcterms:modified xsi:type="dcterms:W3CDTF">2024-05-22T09:35:59Z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2024-05-22T00:00:00Z</vt:filetime>
  </property>
</Properties>
</file>